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1303" w14:textId="77777777" w:rsidR="00BF1C3B" w:rsidRPr="001538C3" w:rsidRDefault="00BF1C3B" w:rsidP="00BF1C3B">
      <w:pPr>
        <w:textAlignment w:val="baseline"/>
        <w:rPr>
          <w:rFonts w:ascii="Calibri" w:eastAsia="Calibri" w:hAnsi="Calibri"/>
          <w:b/>
          <w:sz w:val="29"/>
        </w:rPr>
      </w:pPr>
      <w:r>
        <w:rPr>
          <w:rFonts w:ascii="Calibri" w:eastAsia="Calibri" w:hAnsi="Calibri"/>
          <w:b/>
          <w:noProof/>
          <w:sz w:val="29"/>
        </w:rPr>
        <w:drawing>
          <wp:inline distT="0" distB="0" distL="0" distR="0" wp14:anchorId="7144BBBE" wp14:editId="74E36EE4">
            <wp:extent cx="520700" cy="75671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xford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07" cy="77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83F65" w14:textId="77777777" w:rsidR="00BF1C3B" w:rsidRPr="001538C3" w:rsidRDefault="00BF1C3B" w:rsidP="00BF1C3B">
      <w:pPr>
        <w:jc w:val="center"/>
        <w:textAlignment w:val="baseline"/>
        <w:rPr>
          <w:rFonts w:ascii="Calibri" w:eastAsia="Calibri" w:hAnsi="Calibri"/>
          <w:b/>
          <w:sz w:val="29"/>
          <w:u w:val="single"/>
        </w:rPr>
      </w:pPr>
      <w:r w:rsidRPr="00306485">
        <w:rPr>
          <w:rFonts w:ascii="Calibri" w:eastAsia="Calibri" w:hAnsi="Calibri"/>
          <w:b/>
          <w:sz w:val="29"/>
          <w:u w:val="single"/>
        </w:rPr>
        <w:t>External</w:t>
      </w:r>
      <w:r w:rsidRPr="001538C3">
        <w:rPr>
          <w:rFonts w:ascii="Calibri" w:eastAsia="Calibri" w:hAnsi="Calibri"/>
          <w:b/>
          <w:sz w:val="29"/>
          <w:u w:val="single"/>
        </w:rPr>
        <w:t xml:space="preserve"> Expense claim check list</w:t>
      </w:r>
      <w:r>
        <w:rPr>
          <w:rFonts w:ascii="Calibri" w:eastAsia="Calibri" w:hAnsi="Calibri"/>
          <w:b/>
          <w:sz w:val="29"/>
          <w:u w:val="single"/>
        </w:rPr>
        <w:t xml:space="preserve"> for visitors</w:t>
      </w:r>
    </w:p>
    <w:p w14:paraId="34D4CF59" w14:textId="77777777" w:rsidR="00BF1C3B" w:rsidRDefault="00BF1C3B" w:rsidP="00BF1C3B">
      <w:pPr>
        <w:jc w:val="center"/>
        <w:textAlignment w:val="baseline"/>
        <w:rPr>
          <w:rFonts w:ascii="Calibri" w:eastAsia="Calibri" w:hAnsi="Calibri"/>
          <w:b/>
          <w:color w:val="528135"/>
          <w:sz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F1C3B" w:rsidRPr="00545C6E" w14:paraId="01AC2D77" w14:textId="77777777" w:rsidTr="00E84DAC">
        <w:trPr>
          <w:trHeight w:val="346"/>
        </w:trPr>
        <w:tc>
          <w:tcPr>
            <w:tcW w:w="2547" w:type="dxa"/>
          </w:tcPr>
          <w:p w14:paraId="63235203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Claimant/Payee Details</w:t>
            </w:r>
          </w:p>
        </w:tc>
        <w:tc>
          <w:tcPr>
            <w:tcW w:w="6469" w:type="dxa"/>
          </w:tcPr>
          <w:p w14:paraId="5D0E1E45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>□ I</w:t>
            </w:r>
            <w:r w:rsidRPr="001F08BF">
              <w:rPr>
                <w:rFonts w:ascii="Arial" w:hAnsi="Arial" w:cs="Arial"/>
              </w:rPr>
              <w:t>nformation provided is correct</w:t>
            </w:r>
          </w:p>
        </w:tc>
      </w:tr>
      <w:tr w:rsidR="00BF1C3B" w:rsidRPr="00545C6E" w14:paraId="7261522A" w14:textId="77777777" w:rsidTr="00E84DAC">
        <w:trPr>
          <w:trHeight w:val="346"/>
        </w:trPr>
        <w:tc>
          <w:tcPr>
            <w:tcW w:w="2547" w:type="dxa"/>
          </w:tcPr>
          <w:p w14:paraId="4558CD07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Payment Detail</w:t>
            </w:r>
          </w:p>
        </w:tc>
        <w:tc>
          <w:tcPr>
            <w:tcW w:w="6469" w:type="dxa"/>
          </w:tcPr>
          <w:p w14:paraId="7ABE521E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Bank or payment details are accurate and complete</w:t>
            </w:r>
          </w:p>
        </w:tc>
      </w:tr>
      <w:tr w:rsidR="00BF1C3B" w:rsidRPr="00545C6E" w14:paraId="1AB2C184" w14:textId="77777777" w:rsidTr="00E84DAC">
        <w:trPr>
          <w:trHeight w:val="346"/>
        </w:trPr>
        <w:tc>
          <w:tcPr>
            <w:tcW w:w="2547" w:type="dxa"/>
          </w:tcPr>
          <w:p w14:paraId="1A9A0C79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 xml:space="preserve">Dates </w:t>
            </w:r>
          </w:p>
        </w:tc>
        <w:tc>
          <w:tcPr>
            <w:tcW w:w="6469" w:type="dxa"/>
          </w:tcPr>
          <w:p w14:paraId="22DD3123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All relevant transaction and travel dates are clearly provided</w:t>
            </w:r>
          </w:p>
        </w:tc>
      </w:tr>
      <w:tr w:rsidR="00BF1C3B" w:rsidRPr="00545C6E" w14:paraId="48A9F5D8" w14:textId="77777777" w:rsidTr="00E84DAC">
        <w:trPr>
          <w:trHeight w:val="346"/>
        </w:trPr>
        <w:tc>
          <w:tcPr>
            <w:tcW w:w="2547" w:type="dxa"/>
          </w:tcPr>
          <w:p w14:paraId="56B6A876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Description</w:t>
            </w:r>
          </w:p>
        </w:tc>
        <w:tc>
          <w:tcPr>
            <w:tcW w:w="6469" w:type="dxa"/>
          </w:tcPr>
          <w:p w14:paraId="3869A9F5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Descriptions accurately reflect the purpose and match the receipt information</w:t>
            </w:r>
          </w:p>
        </w:tc>
      </w:tr>
      <w:tr w:rsidR="00BF1C3B" w:rsidRPr="00545C6E" w14:paraId="38D602A3" w14:textId="77777777" w:rsidTr="00E84DAC">
        <w:trPr>
          <w:trHeight w:val="346"/>
        </w:trPr>
        <w:tc>
          <w:tcPr>
            <w:tcW w:w="2547" w:type="dxa"/>
          </w:tcPr>
          <w:p w14:paraId="3B493124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 xml:space="preserve">Receipt </w:t>
            </w:r>
          </w:p>
        </w:tc>
        <w:tc>
          <w:tcPr>
            <w:tcW w:w="6469" w:type="dxa"/>
          </w:tcPr>
          <w:p w14:paraId="01EF0B79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are itemised and legible</w:t>
            </w:r>
          </w:p>
          <w:p w14:paraId="4A97C8D2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 amounts match the claim</w:t>
            </w:r>
          </w:p>
          <w:p w14:paraId="3BFFEC0B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are in the name of the claimant</w:t>
            </w:r>
          </w:p>
          <w:p w14:paraId="640F44F9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show payment confirmation</w:t>
            </w:r>
          </w:p>
        </w:tc>
      </w:tr>
      <w:tr w:rsidR="00BF1C3B" w:rsidRPr="00545C6E" w14:paraId="103DE56E" w14:textId="77777777" w:rsidTr="00E84DAC">
        <w:trPr>
          <w:trHeight w:val="346"/>
        </w:trPr>
        <w:tc>
          <w:tcPr>
            <w:tcW w:w="2547" w:type="dxa"/>
          </w:tcPr>
          <w:p w14:paraId="052FFC90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Exchange Rate</w:t>
            </w:r>
          </w:p>
        </w:tc>
        <w:tc>
          <w:tcPr>
            <w:tcW w:w="6469" w:type="dxa"/>
          </w:tcPr>
          <w:p w14:paraId="1CF8CF85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 xml:space="preserve">Exchange rate is provided from </w:t>
            </w:r>
            <w:hyperlink r:id="rId6" w:history="1">
              <w:r w:rsidRPr="001F08BF">
                <w:rPr>
                  <w:rStyle w:val="Hyperlink"/>
                  <w:rFonts w:ascii="Arial" w:hAnsi="Arial" w:cs="Arial"/>
                </w:rPr>
                <w:t>https://www.xe.com/</w:t>
              </w:r>
            </w:hyperlink>
            <w:r w:rsidRPr="001F08BF">
              <w:rPr>
                <w:rFonts w:ascii="Arial" w:hAnsi="Arial" w:cs="Arial"/>
              </w:rPr>
              <w:t xml:space="preserve"> </w:t>
            </w:r>
          </w:p>
        </w:tc>
      </w:tr>
      <w:tr w:rsidR="00BF1C3B" w:rsidRPr="00545C6E" w14:paraId="09C77959" w14:textId="77777777" w:rsidTr="00E84DAC">
        <w:trPr>
          <w:trHeight w:val="346"/>
        </w:trPr>
        <w:tc>
          <w:tcPr>
            <w:tcW w:w="2547" w:type="dxa"/>
          </w:tcPr>
          <w:p w14:paraId="319764B5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Business purpose</w:t>
            </w:r>
          </w:p>
        </w:tc>
        <w:tc>
          <w:tcPr>
            <w:tcW w:w="6469" w:type="dxa"/>
          </w:tcPr>
          <w:p w14:paraId="17FF52FE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Clearly describes the nature of the expense </w:t>
            </w:r>
          </w:p>
          <w:p w14:paraId="78428775" w14:textId="77777777" w:rsidR="00BF1C3B" w:rsidRDefault="00BF1C3B" w:rsidP="00E84DAC">
            <w:pPr>
              <w:textAlignment w:val="baseline"/>
              <w:rPr>
                <w:rFonts w:ascii="Arial" w:eastAsia="Calibri" w:hAnsi="Arial" w:cs="Arial"/>
                <w:bCs/>
                <w:i/>
              </w:rPr>
            </w:pPr>
            <w:r w:rsidRPr="001F08BF">
              <w:rPr>
                <w:rFonts w:ascii="Arial" w:eastAsia="Calibri" w:hAnsi="Arial" w:cs="Arial"/>
                <w:bCs/>
                <w:i/>
              </w:rPr>
              <w:t>Example: “Travel to visit Professor John Smith – 01/01/25”</w:t>
            </w:r>
          </w:p>
          <w:p w14:paraId="391F8894" w14:textId="3A673988" w:rsidR="007767B3" w:rsidRPr="001F08BF" w:rsidRDefault="007767B3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7767B3">
              <w:rPr>
                <w:rFonts w:ascii="Arial" w:eastAsia="Calibri" w:hAnsi="Arial" w:cs="Arial"/>
                <w:bCs/>
              </w:rPr>
              <w:t xml:space="preserve">□ </w:t>
            </w:r>
            <w:r>
              <w:rPr>
                <w:rFonts w:ascii="Arial" w:eastAsia="Calibri" w:hAnsi="Arial" w:cs="Arial"/>
                <w:bCs/>
              </w:rPr>
              <w:t>Please note that d</w:t>
            </w:r>
            <w:r w:rsidRPr="007767B3">
              <w:rPr>
                <w:rFonts w:ascii="Arial" w:eastAsia="Calibri" w:hAnsi="Arial" w:cs="Arial"/>
                <w:bCs/>
              </w:rPr>
              <w:t>escriptions such as “train”, “lunch”, or “dinner” on their own do not provide sufficient context to explain the business purpose of the expense.</w:t>
            </w:r>
          </w:p>
        </w:tc>
      </w:tr>
      <w:tr w:rsidR="00BF1C3B" w:rsidRPr="00545C6E" w14:paraId="43C53BFD" w14:textId="77777777" w:rsidTr="00E84DAC">
        <w:trPr>
          <w:trHeight w:val="593"/>
        </w:trPr>
        <w:tc>
          <w:tcPr>
            <w:tcW w:w="2547" w:type="dxa"/>
          </w:tcPr>
          <w:p w14:paraId="44870E2B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Time limit</w:t>
            </w:r>
          </w:p>
        </w:tc>
        <w:tc>
          <w:tcPr>
            <w:tcW w:w="6469" w:type="dxa"/>
          </w:tcPr>
          <w:p w14:paraId="0C37625D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 xml:space="preserve">Expense claim should be submitted within </w:t>
            </w:r>
            <w:r w:rsidRPr="001F08BF">
              <w:rPr>
                <w:rFonts w:ascii="Arial" w:hAnsi="Arial" w:cs="Arial"/>
                <w:b/>
              </w:rPr>
              <w:t>3 months</w:t>
            </w:r>
            <w:r w:rsidRPr="001F08BF">
              <w:rPr>
                <w:rFonts w:ascii="Arial" w:hAnsi="Arial" w:cs="Arial"/>
              </w:rPr>
              <w:t xml:space="preserve"> from transaction date</w:t>
            </w:r>
          </w:p>
        </w:tc>
      </w:tr>
      <w:tr w:rsidR="00C707E7" w:rsidRPr="00545C6E" w14:paraId="27CFB954" w14:textId="77777777" w:rsidTr="00E84DAC">
        <w:trPr>
          <w:trHeight w:val="593"/>
        </w:trPr>
        <w:tc>
          <w:tcPr>
            <w:tcW w:w="2547" w:type="dxa"/>
          </w:tcPr>
          <w:p w14:paraId="1B1757AE" w14:textId="7250E285" w:rsidR="00C707E7" w:rsidRPr="001F08BF" w:rsidRDefault="00C707E7" w:rsidP="00E84DAC">
            <w:pPr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Rail and Flight Travel</w:t>
            </w:r>
          </w:p>
        </w:tc>
        <w:tc>
          <w:tcPr>
            <w:tcW w:w="6469" w:type="dxa"/>
          </w:tcPr>
          <w:p w14:paraId="02C5688A" w14:textId="640B12C7" w:rsidR="007767B3" w:rsidRDefault="00C707E7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C707E7">
              <w:rPr>
                <w:rFonts w:ascii="Arial" w:eastAsia="Calibri" w:hAnsi="Arial" w:cs="Arial"/>
                <w:bCs/>
              </w:rPr>
              <w:t>□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847979" w:rsidRPr="00847979">
              <w:rPr>
                <w:rFonts w:ascii="Arial" w:eastAsia="Calibri" w:hAnsi="Arial" w:cs="Arial"/>
                <w:bCs/>
              </w:rPr>
              <w:t>Due to the University's Value for Money Policy, air travel expenses will normally only be reimbursed for standard/economy-class fares</w:t>
            </w:r>
            <w:r w:rsidR="00847979">
              <w:rPr>
                <w:rFonts w:ascii="Arial" w:eastAsia="Calibri" w:hAnsi="Arial" w:cs="Arial"/>
                <w:bCs/>
              </w:rPr>
              <w:t>.</w:t>
            </w:r>
          </w:p>
          <w:p w14:paraId="2C6E9EDB" w14:textId="6C078D2B" w:rsidR="00C707E7" w:rsidRDefault="007767B3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C707E7">
              <w:rPr>
                <w:rFonts w:ascii="Arial" w:eastAsia="Calibri" w:hAnsi="Arial" w:cs="Arial"/>
                <w:bCs/>
              </w:rPr>
              <w:t>□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847979" w:rsidRPr="00847979">
              <w:rPr>
                <w:rFonts w:ascii="Arial" w:eastAsia="Calibri" w:hAnsi="Arial" w:cs="Arial"/>
                <w:bCs/>
              </w:rPr>
              <w:t>Any exceptions to this policy must be approved by the department in advance of travel</w:t>
            </w:r>
            <w:r w:rsidR="00847979">
              <w:rPr>
                <w:rFonts w:ascii="Arial" w:eastAsia="Calibri" w:hAnsi="Arial" w:cs="Arial"/>
                <w:bCs/>
              </w:rPr>
              <w:t>.</w:t>
            </w:r>
          </w:p>
          <w:p w14:paraId="698B808E" w14:textId="0C3615EB" w:rsidR="00B5328E" w:rsidRPr="001F08BF" w:rsidRDefault="00B5328E" w:rsidP="00B5328E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B5328E">
              <w:rPr>
                <w:rFonts w:ascii="Arial" w:eastAsia="Calibri" w:hAnsi="Arial" w:cs="Arial"/>
                <w:bCs/>
              </w:rPr>
              <w:t>□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847979" w:rsidRPr="00847979">
              <w:rPr>
                <w:rFonts w:ascii="Arial" w:eastAsia="Calibri" w:hAnsi="Arial" w:cs="Arial"/>
                <w:bCs/>
              </w:rPr>
              <w:t>In line with the University's Sustainability Policy, domestic travel within the UK should normally be undertaken by rail rather than air</w:t>
            </w:r>
            <w:r w:rsidR="00847979"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BF1C3B" w:rsidRPr="00545C6E" w14:paraId="2B0B7277" w14:textId="77777777" w:rsidTr="00E84DAC">
        <w:trPr>
          <w:trHeight w:val="593"/>
        </w:trPr>
        <w:tc>
          <w:tcPr>
            <w:tcW w:w="2547" w:type="dxa"/>
          </w:tcPr>
          <w:p w14:paraId="009B2737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Taxi/minicabs/Uber (not car hire)</w:t>
            </w:r>
          </w:p>
        </w:tc>
        <w:tc>
          <w:tcPr>
            <w:tcW w:w="6469" w:type="dxa"/>
          </w:tcPr>
          <w:p w14:paraId="0E30839F" w14:textId="77777777" w:rsidR="00F456A7" w:rsidRPr="00F456A7" w:rsidRDefault="00BF1C3B" w:rsidP="00F456A7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="00F456A7" w:rsidRPr="00F456A7">
              <w:rPr>
                <w:rFonts w:ascii="Arial" w:eastAsia="Calibri" w:hAnsi="Arial" w:cs="Arial"/>
                <w:bCs/>
              </w:rPr>
              <w:t xml:space="preserve">Due to the University’s sustainability policy and value for money principles, public transport should be used where at all possible. </w:t>
            </w:r>
          </w:p>
          <w:p w14:paraId="7636279A" w14:textId="77777777" w:rsidR="00F456A7" w:rsidRPr="00F456A7" w:rsidRDefault="00F456A7" w:rsidP="00F456A7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F456A7">
              <w:rPr>
                <w:rFonts w:ascii="Arial" w:eastAsia="Calibri" w:hAnsi="Arial" w:cs="Arial"/>
                <w:bCs/>
              </w:rPr>
              <w:t xml:space="preserve">□ If there is no viable alternative to public transport and a taxi is required then justification must be provided as to why. </w:t>
            </w:r>
          </w:p>
          <w:p w14:paraId="169A2BAB" w14:textId="77777777" w:rsidR="00F456A7" w:rsidRPr="00F456A7" w:rsidRDefault="00F456A7" w:rsidP="00F456A7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F456A7">
              <w:rPr>
                <w:rFonts w:ascii="Arial" w:eastAsia="Calibri" w:hAnsi="Arial" w:cs="Arial"/>
                <w:bCs/>
              </w:rPr>
              <w:t>□ Examples of justifications could include:</w:t>
            </w:r>
          </w:p>
          <w:p w14:paraId="5B3C1556" w14:textId="254EF289" w:rsidR="00BF1C3B" w:rsidRPr="001F08BF" w:rsidRDefault="00F456A7" w:rsidP="00F456A7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F456A7">
              <w:rPr>
                <w:rFonts w:ascii="Arial" w:eastAsia="Calibri" w:hAnsi="Arial" w:cs="Arial"/>
                <w:bCs/>
              </w:rPr>
              <w:t>“A medical condition that makes it difficult to use public transport,” or “The individual is carrying a lot of luggage, computer equipment, and printed materials.”</w:t>
            </w:r>
          </w:p>
        </w:tc>
      </w:tr>
      <w:tr w:rsidR="00FE15AB" w:rsidRPr="00545C6E" w14:paraId="446DD4C8" w14:textId="77777777" w:rsidTr="00FE15AB">
        <w:trPr>
          <w:trHeight w:val="782"/>
        </w:trPr>
        <w:tc>
          <w:tcPr>
            <w:tcW w:w="2547" w:type="dxa"/>
          </w:tcPr>
          <w:p w14:paraId="0CAF3D04" w14:textId="3B1A6D89" w:rsidR="00FE15AB" w:rsidRPr="001F08BF" w:rsidRDefault="00FE15AB" w:rsidP="00E84DAC">
            <w:pPr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Tap on/ Tap Off TFL</w:t>
            </w:r>
          </w:p>
        </w:tc>
        <w:tc>
          <w:tcPr>
            <w:tcW w:w="6469" w:type="dxa"/>
          </w:tcPr>
          <w:p w14:paraId="39C48D4F" w14:textId="637690C3" w:rsidR="00FE15AB" w:rsidRPr="00FE15AB" w:rsidRDefault="001C48EA" w:rsidP="00FE15AB">
            <w:pPr>
              <w:rPr>
                <w:rFonts w:ascii="Arial" w:hAnsi="Arial" w:cs="Arial"/>
                <w:bCs/>
              </w:rPr>
            </w:pPr>
            <w:r w:rsidRPr="001C48EA">
              <w:rPr>
                <w:rFonts w:ascii="Arial" w:hAnsi="Arial" w:cs="Arial"/>
                <w:b/>
                <w:bCs/>
                <w:i/>
              </w:rPr>
              <w:t xml:space="preserve">□ </w:t>
            </w:r>
            <w:r w:rsidR="00FE15AB" w:rsidRPr="00FE15AB">
              <w:rPr>
                <w:rFonts w:ascii="Arial" w:hAnsi="Arial" w:cs="Arial"/>
                <w:b/>
                <w:bCs/>
                <w:i/>
              </w:rPr>
              <w:t>Transport for London</w:t>
            </w:r>
            <w:r w:rsidR="00FE15AB" w:rsidRPr="00FE15AB">
              <w:rPr>
                <w:rFonts w:ascii="Arial" w:hAnsi="Arial" w:cs="Arial"/>
                <w:bCs/>
              </w:rPr>
              <w:t xml:space="preserve"> (TfL) receipts for contactless payments can be obtained via a TfL Contactless and Oyster </w:t>
            </w:r>
            <w:hyperlink r:id="rId7" w:history="1">
              <w:r w:rsidR="00FE15AB" w:rsidRPr="00FE15AB">
                <w:rPr>
                  <w:rStyle w:val="Hyperlink"/>
                  <w:rFonts w:ascii="Arial" w:hAnsi="Arial" w:cs="Arial"/>
                  <w:bCs/>
                </w:rPr>
                <w:t>account</w:t>
              </w:r>
            </w:hyperlink>
            <w:r w:rsidR="00FE15AB" w:rsidRPr="00FE15AB">
              <w:rPr>
                <w:rFonts w:ascii="Arial" w:hAnsi="Arial" w:cs="Arial"/>
                <w:bCs/>
              </w:rPr>
              <w:t>.</w:t>
            </w:r>
          </w:p>
        </w:tc>
      </w:tr>
      <w:tr w:rsidR="00BF1C3B" w:rsidRPr="00545C6E" w14:paraId="4B11CF24" w14:textId="77777777" w:rsidTr="00E84DAC">
        <w:trPr>
          <w:trHeight w:val="1718"/>
        </w:trPr>
        <w:tc>
          <w:tcPr>
            <w:tcW w:w="2547" w:type="dxa"/>
          </w:tcPr>
          <w:p w14:paraId="71330596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lastRenderedPageBreak/>
              <w:t>Subsistence meals whilst on business/ conference trips (away from your normal place of work)</w:t>
            </w:r>
          </w:p>
        </w:tc>
        <w:tc>
          <w:tcPr>
            <w:tcW w:w="6469" w:type="dxa"/>
          </w:tcPr>
          <w:p w14:paraId="4D6A3AD6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  <w:color w:val="528135"/>
              </w:rPr>
            </w:pPr>
            <w:r w:rsidRPr="001F08BF">
              <w:rPr>
                <w:rFonts w:ascii="Arial" w:hAnsi="Arial" w:cs="Arial"/>
                <w:bCs/>
              </w:rPr>
              <w:t xml:space="preserve">□ </w:t>
            </w:r>
            <w:r w:rsidRPr="001F08BF">
              <w:rPr>
                <w:rFonts w:ascii="Arial" w:eastAsia="Calibri" w:hAnsi="Arial" w:cs="Arial"/>
                <w:bCs/>
              </w:rPr>
              <w:t xml:space="preserve">If subsistence is greater that HMRC guidelines claimant must provide a written justification  </w:t>
            </w:r>
          </w:p>
          <w:p w14:paraId="7F5FFA95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 xml:space="preserve">University guideline on meals is </w:t>
            </w:r>
            <w:r w:rsidRPr="001F08BF">
              <w:rPr>
                <w:rFonts w:ascii="Arial" w:hAnsi="Arial" w:cs="Arial"/>
                <w:b/>
                <w:bCs/>
              </w:rPr>
              <w:t>£10</w:t>
            </w:r>
            <w:r w:rsidRPr="001F08BF">
              <w:rPr>
                <w:rFonts w:ascii="Arial" w:hAnsi="Arial" w:cs="Arial"/>
              </w:rPr>
              <w:t xml:space="preserve"> for Breakfast, </w:t>
            </w:r>
            <w:r w:rsidRPr="001F08BF">
              <w:rPr>
                <w:rFonts w:ascii="Arial" w:hAnsi="Arial" w:cs="Arial"/>
                <w:b/>
                <w:bCs/>
              </w:rPr>
              <w:t>£10</w:t>
            </w:r>
            <w:r w:rsidRPr="001F08BF">
              <w:rPr>
                <w:rFonts w:ascii="Arial" w:hAnsi="Arial" w:cs="Arial"/>
              </w:rPr>
              <w:t xml:space="preserve"> for Lunch, </w:t>
            </w:r>
            <w:r w:rsidRPr="001F08BF">
              <w:rPr>
                <w:rFonts w:ascii="Arial" w:hAnsi="Arial" w:cs="Arial"/>
                <w:b/>
                <w:bCs/>
              </w:rPr>
              <w:t>£25</w:t>
            </w:r>
            <w:r w:rsidRPr="001F08BF">
              <w:rPr>
                <w:rFonts w:ascii="Arial" w:hAnsi="Arial" w:cs="Arial"/>
              </w:rPr>
              <w:t xml:space="preserve"> for Dinner and Tips up to 15%. </w:t>
            </w:r>
          </w:p>
          <w:p w14:paraId="201D13FA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 xml:space="preserve">For overseas rates, refer to </w:t>
            </w:r>
            <w:hyperlink r:id="rId8" w:history="1">
              <w:r w:rsidRPr="001F08BF">
                <w:rPr>
                  <w:rStyle w:val="Hyperlink"/>
                  <w:rFonts w:ascii="Arial" w:hAnsi="Arial" w:cs="Arial"/>
                </w:rPr>
                <w:t>Expenses rates for employees travelling outside the UK - GOV.UK (www.gov.uk)</w:t>
              </w:r>
            </w:hyperlink>
            <w:r w:rsidRPr="001F08BF">
              <w:rPr>
                <w:rFonts w:ascii="Arial" w:hAnsi="Arial" w:cs="Arial"/>
              </w:rPr>
              <w:t xml:space="preserve">. </w:t>
            </w:r>
          </w:p>
          <w:p w14:paraId="16941C63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1C48EA" w:rsidRPr="00545C6E" w14:paraId="588E9C38" w14:textId="77777777" w:rsidTr="00E84DAC">
        <w:trPr>
          <w:trHeight w:val="850"/>
        </w:trPr>
        <w:tc>
          <w:tcPr>
            <w:tcW w:w="2547" w:type="dxa"/>
          </w:tcPr>
          <w:p w14:paraId="57769026" w14:textId="64CA6906" w:rsidR="001C48EA" w:rsidRPr="001F08BF" w:rsidRDefault="001C48EA" w:rsidP="00E84DAC">
            <w:pPr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Incidentals</w:t>
            </w:r>
          </w:p>
        </w:tc>
        <w:tc>
          <w:tcPr>
            <w:tcW w:w="6469" w:type="dxa"/>
          </w:tcPr>
          <w:p w14:paraId="1CA65C9D" w14:textId="60A1E92B" w:rsidR="001C48EA" w:rsidRPr="001C48EA" w:rsidRDefault="001C48EA" w:rsidP="001C48EA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C48EA">
              <w:rPr>
                <w:rFonts w:ascii="Arial" w:eastAsia="Calibri" w:hAnsi="Arial" w:cs="Arial"/>
                <w:bCs/>
              </w:rPr>
              <w:t xml:space="preserve">□ </w:t>
            </w:r>
            <w:r>
              <w:rPr>
                <w:rFonts w:ascii="Arial" w:eastAsia="Calibri" w:hAnsi="Arial" w:cs="Arial"/>
                <w:bCs/>
              </w:rPr>
              <w:t>I</w:t>
            </w:r>
            <w:r w:rsidRPr="001C48EA">
              <w:rPr>
                <w:rFonts w:ascii="Arial" w:eastAsia="Calibri" w:hAnsi="Arial" w:cs="Arial"/>
                <w:bCs/>
              </w:rPr>
              <w:t>ncidental expenses such as WIFI</w:t>
            </w:r>
            <w:r w:rsidR="00F456A7">
              <w:rPr>
                <w:rFonts w:ascii="Arial" w:eastAsia="Calibri" w:hAnsi="Arial" w:cs="Arial"/>
                <w:bCs/>
              </w:rPr>
              <w:t xml:space="preserve"> or</w:t>
            </w:r>
            <w:r w:rsidRPr="001C48EA">
              <w:rPr>
                <w:rFonts w:ascii="Arial" w:eastAsia="Calibri" w:hAnsi="Arial" w:cs="Arial"/>
                <w:bCs/>
              </w:rPr>
              <w:t xml:space="preserve"> </w:t>
            </w:r>
            <w:r w:rsidR="00F456A7">
              <w:rPr>
                <w:rFonts w:ascii="Arial" w:eastAsia="Calibri" w:hAnsi="Arial" w:cs="Arial"/>
                <w:bCs/>
              </w:rPr>
              <w:t xml:space="preserve">refreshments </w:t>
            </w:r>
            <w:r w:rsidRPr="001C48EA">
              <w:rPr>
                <w:rFonts w:ascii="Arial" w:eastAsia="Calibri" w:hAnsi="Arial" w:cs="Arial"/>
                <w:bCs/>
              </w:rPr>
              <w:t>incurred whilst travelling (and supported by receipts) can be claimed</w:t>
            </w:r>
            <w:r>
              <w:rPr>
                <w:rFonts w:ascii="Arial" w:eastAsia="Calibri" w:hAnsi="Arial" w:cs="Arial"/>
                <w:bCs/>
              </w:rPr>
              <w:t xml:space="preserve"> for </w:t>
            </w:r>
            <w:r w:rsidRPr="001C48EA">
              <w:rPr>
                <w:rFonts w:ascii="Arial" w:eastAsia="Calibri" w:hAnsi="Arial" w:cs="Arial"/>
                <w:bCs/>
              </w:rPr>
              <w:t>£5 per night for stays in the UK</w:t>
            </w:r>
          </w:p>
          <w:p w14:paraId="7A84ED40" w14:textId="757D3701" w:rsidR="001C48EA" w:rsidRPr="001F08BF" w:rsidRDefault="001C48EA" w:rsidP="001C48EA">
            <w:pPr>
              <w:textAlignment w:val="baseline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And </w:t>
            </w:r>
            <w:r w:rsidRPr="001C48EA">
              <w:rPr>
                <w:rFonts w:ascii="Arial" w:eastAsia="Calibri" w:hAnsi="Arial" w:cs="Arial"/>
                <w:bCs/>
              </w:rPr>
              <w:t>£10 per night for stays in the rest of the world</w:t>
            </w:r>
          </w:p>
        </w:tc>
      </w:tr>
      <w:tr w:rsidR="00BF1C3B" w:rsidRPr="00545C6E" w14:paraId="62D18F86" w14:textId="77777777" w:rsidTr="00E84DAC">
        <w:trPr>
          <w:trHeight w:val="850"/>
        </w:trPr>
        <w:tc>
          <w:tcPr>
            <w:tcW w:w="2547" w:type="dxa"/>
          </w:tcPr>
          <w:p w14:paraId="0544755E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Accommodation</w:t>
            </w:r>
          </w:p>
        </w:tc>
        <w:tc>
          <w:tcPr>
            <w:tcW w:w="6469" w:type="dxa"/>
          </w:tcPr>
          <w:p w14:paraId="2E575018" w14:textId="69FBC949" w:rsidR="00BF1C3B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>□</w:t>
            </w:r>
            <w:r w:rsidR="0083173D">
              <w:rPr>
                <w:rFonts w:ascii="Arial" w:eastAsia="Calibri" w:hAnsi="Arial" w:cs="Arial"/>
                <w:bCs/>
              </w:rPr>
              <w:t xml:space="preserve"> </w:t>
            </w:r>
            <w:r w:rsidRPr="001F08BF">
              <w:rPr>
                <w:rFonts w:ascii="Arial" w:eastAsia="Calibri" w:hAnsi="Arial" w:cs="Arial"/>
                <w:bCs/>
              </w:rPr>
              <w:t>If accommodation is greater tha</w:t>
            </w:r>
            <w:r>
              <w:rPr>
                <w:rFonts w:ascii="Arial" w:eastAsia="Calibri" w:hAnsi="Arial" w:cs="Arial"/>
                <w:bCs/>
              </w:rPr>
              <w:t>n</w:t>
            </w:r>
            <w:r w:rsidRPr="001F08BF">
              <w:rPr>
                <w:rFonts w:ascii="Arial" w:eastAsia="Calibri" w:hAnsi="Arial" w:cs="Arial"/>
                <w:bCs/>
              </w:rPr>
              <w:t xml:space="preserve"> HMRC guidelines claimant must</w:t>
            </w:r>
            <w:r w:rsidR="00FE15AB">
              <w:rPr>
                <w:rFonts w:ascii="Arial" w:eastAsia="Calibri" w:hAnsi="Arial" w:cs="Arial"/>
                <w:bCs/>
              </w:rPr>
              <w:t xml:space="preserve"> </w:t>
            </w:r>
            <w:r w:rsidRPr="001F08BF">
              <w:rPr>
                <w:rFonts w:ascii="Arial" w:eastAsia="Calibri" w:hAnsi="Arial" w:cs="Arial"/>
                <w:bCs/>
              </w:rPr>
              <w:t>provide a written justification</w:t>
            </w:r>
            <w:r w:rsidR="0083173D">
              <w:rPr>
                <w:rFonts w:ascii="Arial" w:eastAsia="Calibri" w:hAnsi="Arial" w:cs="Arial"/>
                <w:bCs/>
              </w:rPr>
              <w:t xml:space="preserve"> such as:</w:t>
            </w:r>
            <w:r w:rsidRPr="001F08BF">
              <w:rPr>
                <w:rFonts w:ascii="Arial" w:eastAsia="Calibri" w:hAnsi="Arial" w:cs="Arial"/>
                <w:bCs/>
              </w:rPr>
              <w:t xml:space="preserve">  </w:t>
            </w:r>
          </w:p>
          <w:p w14:paraId="380D440B" w14:textId="4C1D3303" w:rsidR="0083173D" w:rsidRPr="0083173D" w:rsidRDefault="0083173D" w:rsidP="0083173D">
            <w:pPr>
              <w:textAlignment w:val="baseline"/>
              <w:rPr>
                <w:rFonts w:ascii="Arial" w:eastAsia="Calibri" w:hAnsi="Arial" w:cs="Arial"/>
                <w:bCs/>
                <w:i/>
                <w:iCs/>
              </w:rPr>
            </w:pPr>
            <w:r w:rsidRPr="0083173D">
              <w:rPr>
                <w:rFonts w:ascii="Arial" w:eastAsia="Calibri" w:hAnsi="Arial" w:cs="Arial"/>
                <w:bCs/>
                <w:i/>
                <w:iCs/>
              </w:rPr>
              <w:t>□ Attendance at a conference, event or meeting where accommodation was booked at the designated venue.</w:t>
            </w:r>
          </w:p>
          <w:p w14:paraId="268672BD" w14:textId="79B3089C" w:rsidR="0083173D" w:rsidRPr="0083173D" w:rsidRDefault="0083173D" w:rsidP="0083173D">
            <w:pPr>
              <w:textAlignment w:val="baseline"/>
              <w:rPr>
                <w:rFonts w:ascii="Arial" w:eastAsia="Calibri" w:hAnsi="Arial" w:cs="Arial"/>
                <w:bCs/>
                <w:i/>
                <w:iCs/>
              </w:rPr>
            </w:pPr>
            <w:r w:rsidRPr="0083173D">
              <w:rPr>
                <w:rFonts w:ascii="Arial" w:eastAsia="Calibri" w:hAnsi="Arial" w:cs="Arial"/>
                <w:bCs/>
                <w:i/>
                <w:iCs/>
              </w:rPr>
              <w:t>□ Travel during periods of exceptionally high demand when lower-cost accommodation was unavailable.</w:t>
            </w:r>
          </w:p>
          <w:p w14:paraId="2533FFBA" w14:textId="098FBABE" w:rsidR="0083173D" w:rsidRPr="001F08BF" w:rsidRDefault="0083173D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83173D">
              <w:rPr>
                <w:rFonts w:ascii="Arial" w:eastAsia="Calibri" w:hAnsi="Arial" w:cs="Arial"/>
                <w:bCs/>
                <w:i/>
                <w:iCs/>
              </w:rPr>
              <w:t>□</w:t>
            </w:r>
            <w:r>
              <w:rPr>
                <w:rFonts w:ascii="Arial" w:eastAsia="Calibri" w:hAnsi="Arial" w:cs="Arial"/>
                <w:bCs/>
                <w:i/>
                <w:iCs/>
              </w:rPr>
              <w:t xml:space="preserve"> Evidence of comparative prices may also be helpful to include.</w:t>
            </w:r>
          </w:p>
          <w:p w14:paraId="66A8845B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UK £100 per night, major cities £150 per night </w:t>
            </w:r>
          </w:p>
          <w:p w14:paraId="69EA7684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Overseas </w:t>
            </w:r>
            <w:hyperlink r:id="rId9" w:history="1">
              <w:r w:rsidRPr="001F08BF">
                <w:rPr>
                  <w:rStyle w:val="Hyperlink"/>
                  <w:rFonts w:ascii="Arial" w:eastAsia="Calibri" w:hAnsi="Arial" w:cs="Arial"/>
                  <w:bCs/>
                </w:rPr>
                <w:t>Expenses rates for employees travelling outside the UK - GOV.UK</w:t>
              </w:r>
            </w:hyperlink>
            <w:r w:rsidRPr="001F08BF">
              <w:rPr>
                <w:rFonts w:ascii="Arial" w:eastAsia="Calibri" w:hAnsi="Arial" w:cs="Arial"/>
                <w:bCs/>
              </w:rPr>
              <w:t xml:space="preserve">. </w:t>
            </w:r>
          </w:p>
        </w:tc>
      </w:tr>
      <w:tr w:rsidR="00BF1C3B" w:rsidRPr="00545C6E" w14:paraId="7E053A5D" w14:textId="77777777" w:rsidTr="00E84DAC">
        <w:trPr>
          <w:trHeight w:val="327"/>
        </w:trPr>
        <w:tc>
          <w:tcPr>
            <w:tcW w:w="2547" w:type="dxa"/>
          </w:tcPr>
          <w:p w14:paraId="1C7C0543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Declaration of Legitimacy</w:t>
            </w:r>
          </w:p>
          <w:p w14:paraId="5CE29F4C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</w:p>
        </w:tc>
        <w:tc>
          <w:tcPr>
            <w:tcW w:w="6469" w:type="dxa"/>
          </w:tcPr>
          <w:p w14:paraId="7D061D24" w14:textId="77777777" w:rsidR="00BF1C3B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Claimant has signed the form or provided a declaration in the email</w:t>
            </w:r>
            <w:r>
              <w:rPr>
                <w:rFonts w:ascii="Arial" w:hAnsi="Arial" w:cs="Arial"/>
              </w:rPr>
              <w:t xml:space="preserve"> </w:t>
            </w:r>
          </w:p>
          <w:p w14:paraId="6E98FBEA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>□</w:t>
            </w:r>
            <w:r>
              <w:rPr>
                <w:rFonts w:ascii="Arial" w:eastAsia="Calibri" w:hAnsi="Arial" w:cs="Arial"/>
                <w:bCs/>
              </w:rPr>
              <w:t xml:space="preserve"> Claimant is d</w:t>
            </w:r>
            <w:r w:rsidRPr="004B0378">
              <w:rPr>
                <w:rFonts w:ascii="Arial" w:hAnsi="Arial" w:cs="Arial"/>
              </w:rPr>
              <w:t xml:space="preserve">eclaring that </w:t>
            </w:r>
            <w:r>
              <w:rPr>
                <w:rFonts w:ascii="Arial" w:hAnsi="Arial" w:cs="Arial"/>
              </w:rPr>
              <w:t xml:space="preserve">the </w:t>
            </w:r>
            <w:r w:rsidRPr="004B0378">
              <w:rPr>
                <w:rFonts w:ascii="Arial" w:hAnsi="Arial" w:cs="Arial"/>
              </w:rPr>
              <w:t xml:space="preserve">expenses have been incurred </w:t>
            </w:r>
            <w:r>
              <w:rPr>
                <w:rFonts w:ascii="Arial" w:hAnsi="Arial" w:cs="Arial"/>
              </w:rPr>
              <w:t>in r</w:t>
            </w:r>
            <w:r w:rsidRPr="007239C4">
              <w:rPr>
                <w:rFonts w:ascii="Arial" w:hAnsi="Arial" w:cs="Arial"/>
              </w:rPr>
              <w:t>espect of bona fide business expenses, incurred wholly, exclusively and</w:t>
            </w:r>
            <w:r>
              <w:rPr>
                <w:rFonts w:ascii="Arial" w:hAnsi="Arial" w:cs="Arial"/>
              </w:rPr>
              <w:t xml:space="preserve"> </w:t>
            </w:r>
            <w:r w:rsidRPr="007239C4">
              <w:rPr>
                <w:rFonts w:ascii="Arial" w:hAnsi="Arial" w:cs="Arial"/>
              </w:rPr>
              <w:t>necessarily on behalf of the University and are in line</w:t>
            </w:r>
            <w:r>
              <w:rPr>
                <w:rFonts w:ascii="Arial" w:hAnsi="Arial" w:cs="Arial"/>
              </w:rPr>
              <w:t xml:space="preserve"> </w:t>
            </w:r>
            <w:r w:rsidRPr="007239C4">
              <w:rPr>
                <w:rFonts w:ascii="Arial" w:hAnsi="Arial" w:cs="Arial"/>
              </w:rPr>
              <w:t>with the University's expenses principles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BF1C3B" w14:paraId="47FC869A" w14:textId="77777777" w:rsidTr="00E84DAC">
        <w:trPr>
          <w:trHeight w:val="346"/>
        </w:trPr>
        <w:tc>
          <w:tcPr>
            <w:tcW w:w="2547" w:type="dxa"/>
          </w:tcPr>
          <w:p w14:paraId="299CF374" w14:textId="77777777"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Budget Holder Approval</w:t>
            </w:r>
          </w:p>
        </w:tc>
        <w:tc>
          <w:tcPr>
            <w:tcW w:w="6469" w:type="dxa"/>
          </w:tcPr>
          <w:p w14:paraId="053471C0" w14:textId="77777777"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Approval has been sought and documented from the appropriate budget holder</w:t>
            </w:r>
          </w:p>
        </w:tc>
      </w:tr>
    </w:tbl>
    <w:p w14:paraId="3DC49019" w14:textId="77777777" w:rsidR="00BF1C3B" w:rsidRDefault="00BF1C3B" w:rsidP="00BF1C3B"/>
    <w:p w14:paraId="38D8D3DE" w14:textId="77777777" w:rsidR="006014A0" w:rsidRDefault="006014A0"/>
    <w:sectPr w:rsidR="00601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83E"/>
    <w:multiLevelType w:val="hybridMultilevel"/>
    <w:tmpl w:val="C4E0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84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3B"/>
    <w:rsid w:val="001C48EA"/>
    <w:rsid w:val="00323458"/>
    <w:rsid w:val="003F51D3"/>
    <w:rsid w:val="006014A0"/>
    <w:rsid w:val="007767B3"/>
    <w:rsid w:val="0083173D"/>
    <w:rsid w:val="00847979"/>
    <w:rsid w:val="009C1937"/>
    <w:rsid w:val="00B14867"/>
    <w:rsid w:val="00B5328E"/>
    <w:rsid w:val="00BF1C3B"/>
    <w:rsid w:val="00C707E7"/>
    <w:rsid w:val="00F456A7"/>
    <w:rsid w:val="00FA3869"/>
    <w:rsid w:val="00F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56A7"/>
  <w15:chartTrackingRefBased/>
  <w15:docId w15:val="{E9150C4A-2E57-456F-B65D-CF2D01C9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C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C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5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expenses-rates-for-employees-travelling-outside-the-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actless.tf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expenses-rates-for-employees-travelling-outside-the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Jain</dc:creator>
  <cp:keywords/>
  <dc:description/>
  <cp:lastModifiedBy>Liz Cody</cp:lastModifiedBy>
  <cp:revision>2</cp:revision>
  <dcterms:created xsi:type="dcterms:W3CDTF">2026-06-17T17:34:00Z</dcterms:created>
  <dcterms:modified xsi:type="dcterms:W3CDTF">2026-06-17T17:34:00Z</dcterms:modified>
</cp:coreProperties>
</file>