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76" w:type="dxa"/>
        <w:tblLook w:val="04A0" w:firstRow="1" w:lastRow="0" w:firstColumn="1" w:lastColumn="0" w:noHBand="0" w:noVBand="1"/>
      </w:tblPr>
      <w:tblGrid>
        <w:gridCol w:w="4508"/>
        <w:gridCol w:w="5268"/>
      </w:tblGrid>
      <w:tr w:rsidR="00155812" w:rsidRPr="00155812" w:rsidTr="0055515F">
        <w:tc>
          <w:tcPr>
            <w:tcW w:w="4508" w:type="dxa"/>
            <w:shd w:val="clear" w:color="auto" w:fill="FFCC99"/>
          </w:tcPr>
          <w:p w:rsidR="00155812" w:rsidRPr="00155812" w:rsidRDefault="00155812" w:rsidP="0055515F">
            <w:pPr>
              <w:spacing w:line="360" w:lineRule="auto"/>
              <w:jc w:val="both"/>
              <w:rPr>
                <w:rFonts w:ascii="Arial" w:hAnsi="Arial" w:cs="Arial"/>
                <w:b/>
                <w:u w:val="single"/>
              </w:rPr>
            </w:pPr>
            <w:bookmarkStart w:id="0" w:name="_Hlk95318891"/>
            <w:r w:rsidRPr="00155812">
              <w:rPr>
                <w:rFonts w:ascii="Arial" w:hAnsi="Arial" w:cs="Arial"/>
                <w:b/>
                <w:u w:val="single"/>
              </w:rPr>
              <w:t>Stage</w:t>
            </w:r>
          </w:p>
        </w:tc>
        <w:tc>
          <w:tcPr>
            <w:tcW w:w="5268" w:type="dxa"/>
            <w:shd w:val="clear" w:color="auto" w:fill="FFCC99"/>
          </w:tcPr>
          <w:p w:rsidR="00155812" w:rsidRPr="00155812" w:rsidRDefault="00155812" w:rsidP="0055515F">
            <w:pPr>
              <w:spacing w:line="360" w:lineRule="auto"/>
              <w:jc w:val="both"/>
              <w:rPr>
                <w:rFonts w:ascii="Arial" w:hAnsi="Arial" w:cs="Arial"/>
                <w:b/>
                <w:u w:val="single"/>
              </w:rPr>
            </w:pPr>
            <w:r w:rsidRPr="00155812">
              <w:rPr>
                <w:rFonts w:ascii="Arial" w:hAnsi="Arial" w:cs="Arial"/>
                <w:b/>
                <w:u w:val="single"/>
              </w:rPr>
              <w:t>Time Allotted</w:t>
            </w:r>
          </w:p>
        </w:tc>
      </w:tr>
      <w:tr w:rsidR="00155812" w:rsidRPr="00155812" w:rsidTr="0055515F">
        <w:tc>
          <w:tcPr>
            <w:tcW w:w="4508" w:type="dxa"/>
          </w:tcPr>
          <w:p w:rsidR="00155812" w:rsidRPr="00155812" w:rsidRDefault="00155812" w:rsidP="0055515F">
            <w:pPr>
              <w:spacing w:line="360" w:lineRule="auto"/>
              <w:rPr>
                <w:rFonts w:ascii="Arial" w:hAnsi="Arial" w:cs="Arial"/>
                <w:b/>
                <w:u w:val="single"/>
              </w:rPr>
            </w:pPr>
            <w:r w:rsidRPr="00155812">
              <w:rPr>
                <w:rFonts w:ascii="Arial" w:hAnsi="Arial" w:cs="Arial"/>
                <w:b/>
                <w:u w:val="single"/>
              </w:rPr>
              <w:t xml:space="preserve">Planning for recruitment – </w:t>
            </w:r>
          </w:p>
          <w:p w:rsidR="00155812" w:rsidRPr="00155812" w:rsidRDefault="00155812" w:rsidP="0055515F">
            <w:pPr>
              <w:spacing w:line="360" w:lineRule="auto"/>
              <w:rPr>
                <w:rFonts w:ascii="Arial" w:hAnsi="Arial" w:cs="Arial"/>
              </w:rPr>
            </w:pPr>
            <w:r w:rsidRPr="00155812">
              <w:rPr>
                <w:rFonts w:ascii="Arial" w:hAnsi="Arial" w:cs="Arial"/>
              </w:rPr>
              <w:t>Job Description and Advert drafted and finalised</w:t>
            </w:r>
          </w:p>
          <w:p w:rsidR="00155812" w:rsidRPr="00155812" w:rsidRDefault="00155812" w:rsidP="0055515F">
            <w:pPr>
              <w:spacing w:line="360" w:lineRule="auto"/>
              <w:rPr>
                <w:rFonts w:ascii="Arial" w:hAnsi="Arial" w:cs="Arial"/>
              </w:rPr>
            </w:pPr>
            <w:r w:rsidRPr="00155812">
              <w:rPr>
                <w:rFonts w:ascii="Arial" w:hAnsi="Arial" w:cs="Arial"/>
              </w:rPr>
              <w:t>Recruitment Panel members selected</w:t>
            </w:r>
          </w:p>
          <w:p w:rsidR="00155812" w:rsidRPr="00155812" w:rsidRDefault="00155812" w:rsidP="0055515F">
            <w:pPr>
              <w:spacing w:line="360" w:lineRule="auto"/>
              <w:rPr>
                <w:rFonts w:ascii="Arial" w:hAnsi="Arial" w:cs="Arial"/>
              </w:rPr>
            </w:pPr>
            <w:r w:rsidRPr="00155812">
              <w:rPr>
                <w:rFonts w:ascii="Arial" w:hAnsi="Arial" w:cs="Arial"/>
              </w:rPr>
              <w:t>Shortlisting and Interview dates confirmed</w:t>
            </w:r>
          </w:p>
          <w:p w:rsidR="00155812" w:rsidRPr="00155812" w:rsidRDefault="00155812" w:rsidP="0055515F">
            <w:pPr>
              <w:spacing w:line="360" w:lineRule="auto"/>
              <w:rPr>
                <w:rFonts w:ascii="Arial" w:hAnsi="Arial" w:cs="Arial"/>
              </w:rPr>
            </w:pPr>
            <w:r w:rsidRPr="00155812">
              <w:rPr>
                <w:rFonts w:ascii="Arial" w:hAnsi="Arial" w:cs="Arial"/>
              </w:rPr>
              <w:t>Recruitment Strategy decided (including appropriate Finance approvals if there is to be paid advertising).</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2 weeks</w:t>
            </w:r>
          </w:p>
        </w:tc>
      </w:tr>
      <w:tr w:rsidR="00155812" w:rsidRPr="00155812" w:rsidTr="0055515F">
        <w:tc>
          <w:tcPr>
            <w:tcW w:w="4508" w:type="dxa"/>
          </w:tcPr>
          <w:p w:rsidR="00155812" w:rsidRPr="00155812" w:rsidRDefault="00155812" w:rsidP="0055515F">
            <w:pPr>
              <w:spacing w:line="360" w:lineRule="auto"/>
              <w:rPr>
                <w:rFonts w:ascii="Arial" w:hAnsi="Arial" w:cs="Arial"/>
              </w:rPr>
            </w:pPr>
            <w:r w:rsidRPr="00155812">
              <w:rPr>
                <w:rFonts w:ascii="Arial" w:hAnsi="Arial" w:cs="Arial"/>
              </w:rPr>
              <w:t>Vacancy requested and authorised in the HR system for advert to go live</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3-5 business days</w:t>
            </w:r>
          </w:p>
        </w:tc>
      </w:tr>
      <w:tr w:rsidR="00155812" w:rsidRPr="00155812" w:rsidTr="0055515F">
        <w:tc>
          <w:tcPr>
            <w:tcW w:w="4508" w:type="dxa"/>
            <w:shd w:val="clear" w:color="auto" w:fill="F7CAAC" w:themeFill="accent2" w:themeFillTint="66"/>
          </w:tcPr>
          <w:p w:rsidR="00155812" w:rsidRPr="00155812" w:rsidRDefault="00155812" w:rsidP="0055515F">
            <w:pPr>
              <w:spacing w:line="360" w:lineRule="auto"/>
              <w:rPr>
                <w:rFonts w:ascii="Arial" w:hAnsi="Arial" w:cs="Arial"/>
                <w:i/>
              </w:rPr>
            </w:pPr>
            <w:r w:rsidRPr="00155812">
              <w:rPr>
                <w:rFonts w:ascii="Arial" w:hAnsi="Arial" w:cs="Arial"/>
                <w:i/>
              </w:rPr>
              <w:t>Grading (if required)</w:t>
            </w:r>
          </w:p>
        </w:tc>
        <w:tc>
          <w:tcPr>
            <w:tcW w:w="5268" w:type="dxa"/>
            <w:shd w:val="clear" w:color="auto" w:fill="F7CAAC" w:themeFill="accent2" w:themeFillTint="66"/>
          </w:tcPr>
          <w:p w:rsidR="00155812" w:rsidRPr="00155812" w:rsidRDefault="00155812" w:rsidP="0055515F">
            <w:pPr>
              <w:spacing w:line="360" w:lineRule="auto"/>
              <w:rPr>
                <w:rFonts w:ascii="Arial" w:hAnsi="Arial" w:cs="Arial"/>
                <w:i/>
              </w:rPr>
            </w:pPr>
            <w:r w:rsidRPr="00155812">
              <w:rPr>
                <w:rFonts w:ascii="Arial" w:hAnsi="Arial" w:cs="Arial"/>
                <w:i/>
              </w:rPr>
              <w:t>10 business days (in addition to the vacancy authorisation process above)</w:t>
            </w:r>
          </w:p>
        </w:tc>
      </w:tr>
      <w:tr w:rsidR="00155812" w:rsidRPr="00155812" w:rsidTr="0055515F">
        <w:tc>
          <w:tcPr>
            <w:tcW w:w="4508" w:type="dxa"/>
          </w:tcPr>
          <w:p w:rsidR="00155812" w:rsidRPr="00155812" w:rsidRDefault="00155812" w:rsidP="0055515F">
            <w:pPr>
              <w:spacing w:line="360" w:lineRule="auto"/>
              <w:rPr>
                <w:rFonts w:ascii="Arial" w:hAnsi="Arial" w:cs="Arial"/>
              </w:rPr>
            </w:pPr>
            <w:r w:rsidRPr="00155812">
              <w:rPr>
                <w:rFonts w:ascii="Arial" w:hAnsi="Arial" w:cs="Arial"/>
              </w:rPr>
              <w:t>Advertisement period</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Recommended 3-4 weeks, noting with the removal of the RLMT that a shorter recruitment exercise can be accommodated if timescales require it</w:t>
            </w:r>
          </w:p>
        </w:tc>
      </w:tr>
      <w:tr w:rsidR="00155812" w:rsidRPr="00155812" w:rsidTr="0055515F">
        <w:tc>
          <w:tcPr>
            <w:tcW w:w="4508" w:type="dxa"/>
          </w:tcPr>
          <w:p w:rsidR="00155812" w:rsidRPr="00155812" w:rsidRDefault="00155812" w:rsidP="0055515F">
            <w:pPr>
              <w:spacing w:line="360" w:lineRule="auto"/>
              <w:rPr>
                <w:rFonts w:ascii="Arial" w:hAnsi="Arial" w:cs="Arial"/>
              </w:rPr>
            </w:pPr>
            <w:r w:rsidRPr="00155812">
              <w:rPr>
                <w:rFonts w:ascii="Arial" w:hAnsi="Arial" w:cs="Arial"/>
              </w:rPr>
              <w:t>Shortlisting</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At least one full week from advert closing date</w:t>
            </w:r>
          </w:p>
        </w:tc>
      </w:tr>
      <w:tr w:rsidR="00155812" w:rsidRPr="00155812" w:rsidTr="0055515F">
        <w:tc>
          <w:tcPr>
            <w:tcW w:w="4508" w:type="dxa"/>
          </w:tcPr>
          <w:p w:rsidR="00155812" w:rsidRPr="00155812" w:rsidRDefault="00155812" w:rsidP="0055515F">
            <w:pPr>
              <w:spacing w:line="360" w:lineRule="auto"/>
              <w:rPr>
                <w:rFonts w:ascii="Arial" w:hAnsi="Arial" w:cs="Arial"/>
              </w:rPr>
            </w:pPr>
            <w:r w:rsidRPr="00155812">
              <w:rPr>
                <w:rFonts w:ascii="Arial" w:hAnsi="Arial" w:cs="Arial"/>
              </w:rPr>
              <w:t>Interviews</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 xml:space="preserve">At least one full week from date of shortlisting meeting  </w:t>
            </w:r>
          </w:p>
        </w:tc>
      </w:tr>
      <w:tr w:rsidR="00155812" w:rsidRPr="00155812" w:rsidTr="0055515F">
        <w:tc>
          <w:tcPr>
            <w:tcW w:w="4508" w:type="dxa"/>
          </w:tcPr>
          <w:p w:rsidR="00155812" w:rsidRPr="00155812" w:rsidRDefault="00155812" w:rsidP="0055515F">
            <w:pPr>
              <w:spacing w:line="360" w:lineRule="auto"/>
              <w:rPr>
                <w:rFonts w:ascii="Arial" w:hAnsi="Arial" w:cs="Arial"/>
              </w:rPr>
            </w:pPr>
            <w:r w:rsidRPr="00155812">
              <w:rPr>
                <w:rFonts w:ascii="Arial" w:hAnsi="Arial" w:cs="Arial"/>
              </w:rPr>
              <w:t>Formal offer acceptance</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1-2 weeks (though can be up to one month depending on number of refused offers)</w:t>
            </w:r>
          </w:p>
        </w:tc>
      </w:tr>
      <w:tr w:rsidR="00155812" w:rsidRPr="00155812" w:rsidTr="0055515F">
        <w:trPr>
          <w:trHeight w:val="132"/>
        </w:trPr>
        <w:tc>
          <w:tcPr>
            <w:tcW w:w="4508" w:type="dxa"/>
          </w:tcPr>
          <w:p w:rsidR="00155812" w:rsidRPr="00155812" w:rsidRDefault="00155812" w:rsidP="0055515F">
            <w:pPr>
              <w:spacing w:line="360" w:lineRule="auto"/>
              <w:rPr>
                <w:rFonts w:ascii="Arial" w:hAnsi="Arial" w:cs="Arial"/>
              </w:rPr>
            </w:pPr>
            <w:r w:rsidRPr="00155812">
              <w:rPr>
                <w:rFonts w:ascii="Arial" w:hAnsi="Arial" w:cs="Arial"/>
              </w:rPr>
              <w:t>Visa application (if required)</w:t>
            </w:r>
          </w:p>
        </w:tc>
        <w:tc>
          <w:tcPr>
            <w:tcW w:w="5268" w:type="dxa"/>
          </w:tcPr>
          <w:p w:rsidR="00155812" w:rsidRPr="00155812" w:rsidRDefault="00155812" w:rsidP="0055515F">
            <w:pPr>
              <w:spacing w:line="360" w:lineRule="auto"/>
              <w:rPr>
                <w:rFonts w:ascii="Arial" w:hAnsi="Arial" w:cs="Arial"/>
              </w:rPr>
            </w:pPr>
            <w:r w:rsidRPr="00155812">
              <w:rPr>
                <w:rFonts w:ascii="Arial" w:hAnsi="Arial" w:cs="Arial"/>
              </w:rPr>
              <w:t xml:space="preserve">3 months. The process will be longer and can to take up to six months for candidates who require ATAS - </w:t>
            </w:r>
            <w:hyperlink r:id="rId6" w:history="1">
              <w:r w:rsidRPr="00155812">
                <w:rPr>
                  <w:rStyle w:val="Hyperlink"/>
                  <w:rFonts w:ascii="Arial" w:hAnsi="Arial" w:cs="Arial"/>
                </w:rPr>
                <w:t>https://www.gov.uk/guidance/find-out-if-you-require-an-atas-certificate</w:t>
              </w:r>
            </w:hyperlink>
            <w:r w:rsidRPr="00155812">
              <w:rPr>
                <w:rFonts w:ascii="Arial" w:hAnsi="Arial" w:cs="Arial"/>
              </w:rPr>
              <w:t xml:space="preserve">. </w:t>
            </w:r>
            <w:r w:rsidRPr="00155812">
              <w:rPr>
                <w:rFonts w:ascii="Arial" w:hAnsi="Arial" w:cs="Arial"/>
              </w:rPr>
              <w:br/>
            </w:r>
            <w:r w:rsidRPr="00155812">
              <w:rPr>
                <w:rFonts w:ascii="Arial" w:hAnsi="Arial" w:cs="Arial"/>
                <w:b/>
                <w:u w:val="single"/>
              </w:rPr>
              <w:t>Note:</w:t>
            </w:r>
            <w:r w:rsidRPr="00155812">
              <w:rPr>
                <w:rFonts w:ascii="Arial" w:hAnsi="Arial" w:cs="Arial"/>
              </w:rPr>
              <w:t xml:space="preserve"> the visa process can only begin once the candidate is able to provide an academic reference from their PhD supervisor confirming that the thesis has been submitted. Please see our Visas Page (link to visa page) for more details.</w:t>
            </w:r>
          </w:p>
        </w:tc>
      </w:tr>
    </w:tbl>
    <w:p w:rsidR="00042F32" w:rsidRPr="00155812" w:rsidRDefault="00042F32">
      <w:pPr>
        <w:rPr>
          <w:rFonts w:ascii="Arial" w:hAnsi="Arial" w:cs="Arial"/>
        </w:rPr>
      </w:pPr>
      <w:bookmarkStart w:id="1" w:name="_GoBack"/>
      <w:bookmarkEnd w:id="0"/>
      <w:bookmarkEnd w:id="1"/>
    </w:p>
    <w:sectPr w:rsidR="00042F32" w:rsidRPr="0015581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812" w:rsidRDefault="00155812" w:rsidP="00155812">
      <w:pPr>
        <w:spacing w:after="0" w:line="240" w:lineRule="auto"/>
      </w:pPr>
      <w:r>
        <w:separator/>
      </w:r>
    </w:p>
  </w:endnote>
  <w:endnote w:type="continuationSeparator" w:id="0">
    <w:p w:rsidR="00155812" w:rsidRDefault="00155812" w:rsidP="0015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812" w:rsidRDefault="00155812" w:rsidP="00155812">
      <w:pPr>
        <w:spacing w:after="0" w:line="240" w:lineRule="auto"/>
      </w:pPr>
      <w:r>
        <w:separator/>
      </w:r>
    </w:p>
  </w:footnote>
  <w:footnote w:type="continuationSeparator" w:id="0">
    <w:p w:rsidR="00155812" w:rsidRDefault="00155812" w:rsidP="0015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812" w:rsidRPr="00155812" w:rsidRDefault="00155812" w:rsidP="00155812">
    <w:pPr>
      <w:pStyle w:val="Header"/>
      <w:jc w:val="center"/>
      <w:rPr>
        <w:rFonts w:ascii="Arial" w:hAnsi="Arial" w:cs="Arial"/>
        <w:b/>
      </w:rPr>
    </w:pPr>
    <w:r w:rsidRPr="00155812">
      <w:rPr>
        <w:rFonts w:ascii="Arial" w:hAnsi="Arial" w:cs="Arial"/>
        <w:b/>
      </w:rPr>
      <w:t>PDRA Recruitment Timeline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12"/>
    <w:rsid w:val="00042F32"/>
    <w:rsid w:val="00155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0B21"/>
  <w15:chartTrackingRefBased/>
  <w15:docId w15:val="{7BCFE096-C7D1-4E14-A913-DCE7FC2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812"/>
    <w:rPr>
      <w:color w:val="0563C1" w:themeColor="hyperlink"/>
      <w:u w:val="single"/>
    </w:rPr>
  </w:style>
  <w:style w:type="table" w:styleId="TableGrid">
    <w:name w:val="Table Grid"/>
    <w:basedOn w:val="TableNormal"/>
    <w:uiPriority w:val="39"/>
    <w:rsid w:val="00155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12"/>
  </w:style>
  <w:style w:type="paragraph" w:styleId="Footer">
    <w:name w:val="footer"/>
    <w:basedOn w:val="Normal"/>
    <w:link w:val="FooterChar"/>
    <w:uiPriority w:val="99"/>
    <w:unhideWhenUsed/>
    <w:rsid w:val="00155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find-out-if-you-require-an-atas-certifica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Stringer</dc:creator>
  <cp:keywords/>
  <dc:description/>
  <cp:lastModifiedBy>Helen Stringer</cp:lastModifiedBy>
  <cp:revision>1</cp:revision>
  <dcterms:created xsi:type="dcterms:W3CDTF">2022-03-29T11:04:00Z</dcterms:created>
  <dcterms:modified xsi:type="dcterms:W3CDTF">2022-03-29T11:07:00Z</dcterms:modified>
</cp:coreProperties>
</file>