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78" w:rsidRDefault="00E73B1F">
      <w:pPr>
        <w:spacing w:before="42" w:line="287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MSc in Mathematical and Computational Finance</w:t>
      </w:r>
    </w:p>
    <w:p w:rsidR="00177678" w:rsidRDefault="00E73B1F">
      <w:pPr>
        <w:spacing w:before="294" w:line="287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t>Examiners’ Report 2023-24</w:t>
      </w:r>
    </w:p>
    <w:p w:rsidR="00177678" w:rsidRDefault="00E73B1F">
      <w:pPr>
        <w:spacing w:before="294" w:line="286" w:lineRule="exact"/>
        <w:jc w:val="center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July 2024</w:t>
      </w:r>
    </w:p>
    <w:p w:rsidR="00177678" w:rsidRDefault="00E73B1F">
      <w:pPr>
        <w:spacing w:before="640" w:line="286" w:lineRule="exact"/>
        <w:textAlignment w:val="baseline"/>
        <w:rPr>
          <w:rFonts w:ascii="Calibri" w:eastAsia="Calibri" w:hAnsi="Calibri"/>
          <w:color w:val="000000"/>
          <w:spacing w:val="-6"/>
          <w:sz w:val="28"/>
        </w:rPr>
      </w:pPr>
      <w:r>
        <w:rPr>
          <w:rFonts w:ascii="Calibri" w:eastAsia="Calibri" w:hAnsi="Calibri"/>
          <w:color w:val="000000"/>
          <w:spacing w:val="-6"/>
          <w:sz w:val="28"/>
        </w:rPr>
        <w:t>Part I</w:t>
      </w:r>
    </w:p>
    <w:p w:rsidR="00177678" w:rsidRDefault="00E73B1F">
      <w:pPr>
        <w:spacing w:before="48" w:line="225" w:lineRule="exact"/>
        <w:textAlignment w:val="baseline"/>
        <w:rPr>
          <w:rFonts w:ascii="Calibri" w:eastAsia="Calibri" w:hAnsi="Calibri"/>
          <w:color w:val="000000"/>
          <w:spacing w:val="7"/>
        </w:rPr>
      </w:pPr>
      <w:r>
        <w:rPr>
          <w:rFonts w:ascii="Calibri" w:eastAsia="Calibri" w:hAnsi="Calibri"/>
          <w:color w:val="000000"/>
          <w:spacing w:val="7"/>
        </w:rPr>
        <w:t xml:space="preserve">A. </w:t>
      </w:r>
      <w:r>
        <w:rPr>
          <w:rFonts w:ascii="Calibri" w:eastAsia="Calibri" w:hAnsi="Calibri"/>
          <w:b/>
          <w:color w:val="000000"/>
          <w:spacing w:val="7"/>
        </w:rPr>
        <w:t>STATISTICS</w:t>
      </w:r>
    </w:p>
    <w:p w:rsidR="00177678" w:rsidRDefault="00E73B1F">
      <w:pPr>
        <w:tabs>
          <w:tab w:val="left" w:pos="1152"/>
        </w:tabs>
        <w:spacing w:before="38" w:after="205" w:line="281" w:lineRule="exact"/>
        <w:ind w:left="576"/>
        <w:textAlignment w:val="baseline"/>
        <w:rPr>
          <w:rFonts w:ascii="Calibri" w:eastAsia="Calibri" w:hAnsi="Calibri"/>
          <w:b/>
          <w:color w:val="000000"/>
          <w:sz w:val="27"/>
        </w:rPr>
      </w:pPr>
      <w:proofErr w:type="spellStart"/>
      <w:r>
        <w:rPr>
          <w:rFonts w:ascii="Calibri" w:eastAsia="Calibri" w:hAnsi="Calibri"/>
          <w:color w:val="000000"/>
          <w:sz w:val="27"/>
        </w:rPr>
        <w:t>i</w:t>
      </w:r>
      <w:proofErr w:type="spellEnd"/>
      <w:r>
        <w:rPr>
          <w:rFonts w:ascii="Calibri" w:eastAsia="Calibri" w:hAnsi="Calibri"/>
          <w:color w:val="000000"/>
          <w:sz w:val="27"/>
        </w:rPr>
        <w:t>.</w:t>
      </w:r>
      <w:r>
        <w:rPr>
          <w:rFonts w:ascii="Calibri" w:eastAsia="Calibri" w:hAnsi="Calibri"/>
          <w:color w:val="000000"/>
          <w:sz w:val="27"/>
        </w:rPr>
        <w:tab/>
      </w:r>
      <w:r>
        <w:rPr>
          <w:rFonts w:ascii="Calibri" w:eastAsia="Calibri" w:hAnsi="Calibri"/>
          <w:b/>
          <w:color w:val="000000"/>
        </w:rPr>
        <w:t>Numbers and percentages in each class/category 53</w:t>
      </w:r>
    </w:p>
    <w:tbl>
      <w:tblPr>
        <w:tblW w:w="9801" w:type="dxa"/>
        <w:tblInd w:w="10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268"/>
        <w:gridCol w:w="1080"/>
        <w:gridCol w:w="1027"/>
        <w:gridCol w:w="1104"/>
        <w:gridCol w:w="1099"/>
        <w:gridCol w:w="999"/>
        <w:gridCol w:w="998"/>
        <w:gridCol w:w="1103"/>
        <w:gridCol w:w="1123"/>
      </w:tblGrid>
      <w:tr w:rsidR="00177678">
        <w:trPr>
          <w:trHeight w:hRule="exact" w:val="6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9" w:line="218" w:lineRule="exact"/>
              <w:ind w:right="334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Class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9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Number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0" w:line="22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Percentage (%)</w:t>
            </w:r>
          </w:p>
        </w:tc>
      </w:tr>
      <w:tr w:rsidR="00177678">
        <w:trPr>
          <w:trHeight w:hRule="exact" w:val="681"/>
        </w:trPr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2023/24</w:t>
            </w:r>
          </w:p>
        </w:tc>
        <w:tc>
          <w:tcPr>
            <w:tcW w:w="10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2022/23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2021/22</w:t>
            </w:r>
          </w:p>
        </w:tc>
        <w:tc>
          <w:tcPr>
            <w:tcW w:w="10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2020/21</w:t>
            </w:r>
          </w:p>
        </w:tc>
        <w:tc>
          <w:tcPr>
            <w:tcW w:w="9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2023/24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2022/23</w:t>
            </w:r>
          </w:p>
        </w:tc>
        <w:tc>
          <w:tcPr>
            <w:tcW w:w="11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2021/22</w:t>
            </w:r>
          </w:p>
        </w:tc>
        <w:tc>
          <w:tcPr>
            <w:tcW w:w="11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2020/21</w:t>
            </w:r>
          </w:p>
        </w:tc>
      </w:tr>
      <w:tr w:rsidR="00177678">
        <w:trPr>
          <w:trHeight w:hRule="exact" w:val="6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34" w:line="218" w:lineRule="exact"/>
              <w:ind w:left="10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Distinction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</w:t>
            </w:r>
          </w:p>
        </w:tc>
      </w:tr>
      <w:tr w:rsidR="00177678">
        <w:trPr>
          <w:trHeight w:hRule="exact" w:val="682"/>
        </w:trPr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8" w:line="218" w:lineRule="exact"/>
              <w:ind w:left="10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Merit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24</w:t>
            </w:r>
          </w:p>
        </w:tc>
        <w:tc>
          <w:tcPr>
            <w:tcW w:w="10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</w:t>
            </w:r>
          </w:p>
        </w:tc>
        <w:tc>
          <w:tcPr>
            <w:tcW w:w="10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9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45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34</w:t>
            </w:r>
          </w:p>
        </w:tc>
        <w:tc>
          <w:tcPr>
            <w:tcW w:w="11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23</w:t>
            </w:r>
          </w:p>
        </w:tc>
        <w:tc>
          <w:tcPr>
            <w:tcW w:w="11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4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46</w:t>
            </w:r>
          </w:p>
        </w:tc>
      </w:tr>
      <w:tr w:rsidR="00177678">
        <w:trPr>
          <w:trHeight w:hRule="exact" w:val="6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44" w:line="218" w:lineRule="exact"/>
              <w:ind w:left="10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3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23</w:t>
            </w:r>
          </w:p>
        </w:tc>
      </w:tr>
      <w:tr w:rsidR="00177678">
        <w:trPr>
          <w:trHeight w:hRule="exact" w:val="67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9" w:line="218" w:lineRule="exact"/>
              <w:ind w:left="10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Fail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</w:tr>
      <w:tr w:rsidR="00177678">
        <w:trPr>
          <w:trHeight w:hRule="exact" w:val="691"/>
        </w:trPr>
        <w:tc>
          <w:tcPr>
            <w:tcW w:w="12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1" w:line="226" w:lineRule="exact"/>
              <w:ind w:left="10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Incomplete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0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9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32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</w:t>
            </w:r>
          </w:p>
        </w:tc>
      </w:tr>
    </w:tbl>
    <w:p w:rsidR="00177678" w:rsidRDefault="00177678">
      <w:pPr>
        <w:tabs>
          <w:tab w:val="left" w:pos="1152"/>
        </w:tabs>
        <w:spacing w:before="38" w:after="205" w:line="281" w:lineRule="exact"/>
        <w:ind w:left="576"/>
        <w:textAlignment w:val="baseline"/>
        <w:rPr>
          <w:rFonts w:ascii="Calibri" w:eastAsia="Calibri" w:hAnsi="Calibri"/>
          <w:color w:val="000000"/>
          <w:sz w:val="27"/>
        </w:rPr>
      </w:pPr>
    </w:p>
    <w:p w:rsidR="00177678" w:rsidRDefault="00E73B1F">
      <w:pPr>
        <w:numPr>
          <w:ilvl w:val="0"/>
          <w:numId w:val="1"/>
        </w:numPr>
        <w:tabs>
          <w:tab w:val="left" w:pos="1080"/>
        </w:tabs>
        <w:spacing w:before="74" w:line="218" w:lineRule="exact"/>
        <w:ind w:left="576"/>
        <w:textAlignment w:val="baseline"/>
        <w:rPr>
          <w:rFonts w:ascii="Calibri" w:eastAsia="Calibri" w:hAnsi="Calibri"/>
          <w:b/>
          <w:color w:val="000000"/>
          <w:spacing w:val="1"/>
        </w:rPr>
      </w:pPr>
      <w:r>
        <w:rPr>
          <w:rFonts w:ascii="Calibri" w:eastAsia="Calibri" w:hAnsi="Calibri"/>
          <w:b/>
          <w:color w:val="000000"/>
          <w:spacing w:val="1"/>
        </w:rPr>
        <w:t xml:space="preserve">If </w:t>
      </w:r>
      <w:proofErr w:type="spellStart"/>
      <w:r>
        <w:rPr>
          <w:rFonts w:ascii="Calibri" w:eastAsia="Calibri" w:hAnsi="Calibri"/>
          <w:b/>
          <w:color w:val="000000"/>
          <w:spacing w:val="1"/>
        </w:rPr>
        <w:t>vivas</w:t>
      </w:r>
      <w:proofErr w:type="spellEnd"/>
      <w:r>
        <w:rPr>
          <w:rFonts w:ascii="Calibri" w:eastAsia="Calibri" w:hAnsi="Calibri"/>
          <w:b/>
          <w:color w:val="000000"/>
          <w:spacing w:val="1"/>
        </w:rPr>
        <w:t xml:space="preserve"> are used:</w:t>
      </w:r>
    </w:p>
    <w:p w:rsidR="00177678" w:rsidRDefault="00E73B1F">
      <w:pPr>
        <w:spacing w:line="463" w:lineRule="exact"/>
        <w:ind w:left="576" w:firstLine="50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No candidates were examined viva voce. </w:t>
      </w:r>
      <w:r>
        <w:rPr>
          <w:rFonts w:ascii="Calibri" w:eastAsia="Calibri" w:hAnsi="Calibri"/>
          <w:color w:val="000000"/>
        </w:rPr>
        <w:br/>
      </w:r>
      <w:r>
        <w:rPr>
          <w:rFonts w:ascii="Calibri" w:eastAsia="Calibri" w:hAnsi="Calibri"/>
          <w:color w:val="000000"/>
          <w:sz w:val="27"/>
        </w:rPr>
        <w:t xml:space="preserve">iii.  </w:t>
      </w:r>
      <w:r>
        <w:rPr>
          <w:rFonts w:ascii="Calibri" w:eastAsia="Calibri" w:hAnsi="Calibri"/>
          <w:b/>
          <w:color w:val="000000"/>
        </w:rPr>
        <w:t>Marking of scripts</w:t>
      </w:r>
    </w:p>
    <w:p w:rsidR="00177678" w:rsidRDefault="00E73B1F">
      <w:pPr>
        <w:spacing w:before="13" w:line="269" w:lineRule="exact"/>
        <w:ind w:left="1080" w:right="1008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four written examinations and two take home exams were set and single-marked by lecturers on examined courses and script-checked by a D.Phil. student.</w:t>
      </w:r>
    </w:p>
    <w:p w:rsidR="00177678" w:rsidRDefault="00E73B1F">
      <w:pPr>
        <w:spacing w:before="282" w:line="227" w:lineRule="exact"/>
        <w:ind w:left="108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The two C++ practical exams were marked by a lecturer and checked by a </w:t>
      </w:r>
      <w:proofErr w:type="spellStart"/>
      <w:r>
        <w:rPr>
          <w:rFonts w:ascii="Calibri" w:eastAsia="Calibri" w:hAnsi="Calibri"/>
          <w:color w:val="000000"/>
        </w:rPr>
        <w:t>D.Phil</w:t>
      </w:r>
      <w:proofErr w:type="spellEnd"/>
      <w:r>
        <w:rPr>
          <w:rFonts w:ascii="Calibri" w:eastAsia="Calibri" w:hAnsi="Calibri"/>
          <w:color w:val="000000"/>
        </w:rPr>
        <w:t xml:space="preserve"> student.</w:t>
      </w:r>
    </w:p>
    <w:p w:rsidR="00177678" w:rsidRDefault="00E73B1F">
      <w:pPr>
        <w:spacing w:before="239" w:line="269" w:lineRule="exact"/>
        <w:ind w:left="1080" w:right="1008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All dissertations were read and marked independently by two Examiners/Assessors with discrepancies resolved by the Examiners/Assessors.</w:t>
      </w:r>
    </w:p>
    <w:p w:rsidR="00177678" w:rsidRDefault="00177678">
      <w:pPr>
        <w:spacing w:before="239" w:line="269" w:lineRule="exact"/>
        <w:ind w:left="1080" w:right="1008"/>
        <w:jc w:val="both"/>
        <w:textAlignment w:val="baseline"/>
        <w:rPr>
          <w:rFonts w:ascii="Calibri" w:eastAsia="Calibri" w:hAnsi="Calibri"/>
          <w:color w:val="000000"/>
        </w:rPr>
      </w:pPr>
    </w:p>
    <w:p w:rsidR="00177678" w:rsidRDefault="00E73B1F">
      <w:pPr>
        <w:spacing w:before="336" w:line="218" w:lineRule="exact"/>
        <w:ind w:left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B. NEW EXAMINING METHODS AND PROCEDURES</w:t>
      </w:r>
    </w:p>
    <w:p w:rsidR="00177678" w:rsidRDefault="00E73B1F">
      <w:pPr>
        <w:spacing w:before="336" w:line="218" w:lineRule="exact"/>
        <w:ind w:left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color w:val="000000"/>
        </w:rPr>
        <w:t>None</w:t>
      </w:r>
    </w:p>
    <w:p w:rsidR="00177678" w:rsidRDefault="00E73B1F">
      <w:pPr>
        <w:spacing w:before="532" w:line="269" w:lineRule="exact"/>
        <w:ind w:left="504" w:right="648" w:hanging="43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B.     Please list any changes in examining methods, procedures and conventions which the examiners would wish the faculty/department and the divisional board to consider.</w:t>
      </w:r>
    </w:p>
    <w:p w:rsidR="00177678" w:rsidRDefault="00E73B1F">
      <w:pPr>
        <w:spacing w:before="249" w:line="263" w:lineRule="exact"/>
        <w:ind w:left="504" w:right="7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None</w:t>
      </w:r>
    </w:p>
    <w:p w:rsidR="00177678" w:rsidRDefault="00E73B1F">
      <w:pPr>
        <w:tabs>
          <w:tab w:val="left" w:pos="576"/>
        </w:tabs>
        <w:spacing w:before="250" w:line="267" w:lineRule="exact"/>
        <w:ind w:left="504" w:right="72" w:hanging="43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D.</w:t>
      </w:r>
      <w:r>
        <w:rPr>
          <w:rFonts w:ascii="Calibri" w:eastAsia="Calibri" w:hAnsi="Calibri"/>
          <w:b/>
          <w:color w:val="000000"/>
        </w:rPr>
        <w:tab/>
        <w:t>Please describe how candidates are made aware of the examination conventions to be followed by the examiners (Please attach to the report a copy of the examination conventions and any other rele</w:t>
      </w:r>
      <w:r>
        <w:rPr>
          <w:rFonts w:ascii="Calibri" w:eastAsia="Calibri" w:hAnsi="Calibri"/>
          <w:b/>
          <w:color w:val="000000"/>
        </w:rPr>
        <w:softHyphen/>
        <w:t xml:space="preserve">vant documentation, including the relevant standing orders </w:t>
      </w:r>
      <w:r>
        <w:rPr>
          <w:rFonts w:ascii="Calibri" w:eastAsia="Calibri" w:hAnsi="Calibri"/>
          <w:color w:val="000000"/>
        </w:rPr>
        <w:t xml:space="preserve">– see </w:t>
      </w:r>
      <w:r>
        <w:rPr>
          <w:rFonts w:ascii="Calibri" w:eastAsia="Calibri" w:hAnsi="Calibri"/>
          <w:i/>
          <w:color w:val="000000"/>
        </w:rPr>
        <w:t>Examination Regulations</w:t>
      </w:r>
      <w:r>
        <w:rPr>
          <w:rFonts w:ascii="Calibri" w:eastAsia="Calibri" w:hAnsi="Calibri"/>
          <w:color w:val="000000"/>
        </w:rPr>
        <w:t>, Regula</w:t>
      </w:r>
      <w:r>
        <w:rPr>
          <w:rFonts w:ascii="Calibri" w:eastAsia="Calibri" w:hAnsi="Calibri"/>
          <w:color w:val="000000"/>
        </w:rPr>
        <w:softHyphen/>
        <w:t>tions for the Conduct of University Examinations, Part 4, cl. 4-1-4.2,</w:t>
      </w:r>
    </w:p>
    <w:p w:rsidR="00177678" w:rsidRDefault="004D541D">
      <w:pPr>
        <w:spacing w:line="268" w:lineRule="exact"/>
        <w:ind w:left="504" w:right="432"/>
        <w:textAlignment w:val="baseline"/>
        <w:rPr>
          <w:rFonts w:ascii="Calibri" w:eastAsia="Calibri" w:hAnsi="Calibri"/>
          <w:color w:val="0000FF"/>
          <w:sz w:val="23"/>
          <w:u w:val="single"/>
        </w:rPr>
      </w:pPr>
      <w:hyperlink r:id="rId5">
        <w:r w:rsidR="00E73B1F">
          <w:rPr>
            <w:rFonts w:ascii="Calibri" w:eastAsia="Calibri" w:hAnsi="Calibri"/>
            <w:color w:val="0000FF"/>
            <w:sz w:val="23"/>
            <w:u w:val="single"/>
          </w:rPr>
          <w:t>2019-20, Regulations for the Conduct of University Examinations: Part 4 Examiners: Period of Office,</w:t>
        </w:r>
      </w:hyperlink>
      <w:r w:rsidR="00E73B1F">
        <w:rPr>
          <w:rFonts w:ascii="Calibri" w:eastAsia="Calibri" w:hAnsi="Calibri"/>
          <w:color w:val="0000FF"/>
          <w:sz w:val="23"/>
          <w:u w:val="single"/>
        </w:rPr>
        <w:t xml:space="preserve"> </w:t>
      </w:r>
      <w:hyperlink r:id="rId6">
        <w:r w:rsidR="00E73B1F">
          <w:rPr>
            <w:rFonts w:ascii="Calibri" w:eastAsia="Calibri" w:hAnsi="Calibri"/>
            <w:color w:val="0000FF"/>
            <w:sz w:val="23"/>
            <w:u w:val="single"/>
          </w:rPr>
          <w:t xml:space="preserve"> Casual Vacancies, Resignation, and Removal (ox.ac.uk)</w:t>
        </w:r>
      </w:hyperlink>
      <w:r w:rsidR="00E73B1F">
        <w:rPr>
          <w:rFonts w:ascii="Calibri" w:eastAsia="Calibri" w:hAnsi="Calibri"/>
          <w:color w:val="000000"/>
          <w:sz w:val="23"/>
          <w:u w:val="single"/>
        </w:rPr>
        <w:t xml:space="preserve"> </w:t>
      </w:r>
    </w:p>
    <w:p w:rsidR="00177678" w:rsidRDefault="00E73B1F">
      <w:pPr>
        <w:spacing w:before="43" w:line="224" w:lineRule="exact"/>
        <w:ind w:left="50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Examination conventions for this course are included in the Course Handbook.</w:t>
      </w:r>
    </w:p>
    <w:p w:rsidR="00177678" w:rsidRDefault="00E73B1F">
      <w:pPr>
        <w:spacing w:before="582" w:after="104" w:line="314" w:lineRule="exact"/>
        <w:ind w:left="72"/>
        <w:textAlignment w:val="baseline"/>
        <w:rPr>
          <w:rFonts w:ascii="Calibri" w:eastAsia="Calibri" w:hAnsi="Calibri"/>
          <w:color w:val="000000"/>
          <w:spacing w:val="7"/>
          <w:sz w:val="29"/>
        </w:rPr>
      </w:pPr>
      <w:r>
        <w:rPr>
          <w:rFonts w:ascii="Calibri" w:eastAsia="Calibri" w:hAnsi="Calibri"/>
          <w:color w:val="000000"/>
          <w:spacing w:val="7"/>
          <w:sz w:val="29"/>
        </w:rPr>
        <w:t>Part II</w:t>
      </w:r>
    </w:p>
    <w:p w:rsidR="00177678" w:rsidRDefault="00E73B1F">
      <w:pPr>
        <w:pStyle w:val="ListParagraph"/>
        <w:numPr>
          <w:ilvl w:val="0"/>
          <w:numId w:val="3"/>
        </w:numPr>
        <w:spacing w:before="19" w:line="263" w:lineRule="exact"/>
        <w:ind w:right="216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GENERAL COMMENTS ON THE EXAMINATION</w:t>
      </w:r>
    </w:p>
    <w:p w:rsidR="00177678" w:rsidRPr="00082B01" w:rsidRDefault="00E73B1F" w:rsidP="00082B01">
      <w:pPr>
        <w:spacing w:before="138" w:line="226" w:lineRule="exact"/>
        <w:ind w:left="360"/>
        <w:textAlignment w:val="baseline"/>
        <w:rPr>
          <w:rFonts w:ascii="Calibri" w:eastAsia="Calibri" w:hAnsi="Calibri"/>
          <w:color w:val="000000"/>
        </w:rPr>
      </w:pPr>
      <w:r w:rsidRPr="00082B01">
        <w:rPr>
          <w:rFonts w:ascii="Calibri" w:eastAsia="Calibri" w:hAnsi="Calibri"/>
          <w:color w:val="000000"/>
        </w:rPr>
        <w:t xml:space="preserve">The written exams went smoothly this year. Most take-home exams were marked in a timely manner (the Deep Learning marks were received very late, with a few reminders needed). </w:t>
      </w:r>
    </w:p>
    <w:p w:rsidR="00177678" w:rsidRDefault="00E73B1F">
      <w:pPr>
        <w:numPr>
          <w:ilvl w:val="0"/>
          <w:numId w:val="2"/>
        </w:numPr>
        <w:tabs>
          <w:tab w:val="left" w:pos="360"/>
        </w:tabs>
        <w:spacing w:before="571" w:line="223" w:lineRule="exact"/>
        <w:ind w:left="144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 EQUAL OPPORTUNITIES ISSUES AND BREAKDOWN OF THE RESULTS BY SEX</w:t>
      </w:r>
    </w:p>
    <w:p w:rsidR="00177678" w:rsidRDefault="00E73B1F">
      <w:pPr>
        <w:spacing w:before="138" w:line="226" w:lineRule="exact"/>
        <w:ind w:left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There were 12  female candidates and  41 males. Among the 12 female students, 3 received a distinction,</w:t>
      </w:r>
    </w:p>
    <w:p w:rsidR="00177678" w:rsidRDefault="00E73B1F">
      <w:pPr>
        <w:spacing w:before="138" w:line="226" w:lineRule="exact"/>
        <w:ind w:left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6 received a merit, 2 received a pass, while 1 student failed the course. </w:t>
      </w:r>
    </w:p>
    <w:p w:rsidR="00177678" w:rsidRDefault="00E73B1F">
      <w:pPr>
        <w:spacing w:before="138" w:line="226" w:lineRule="exact"/>
        <w:ind w:left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Among the 41 male students, 11 received distinctions, 18 received a merit,  8 received a pass and 4 failed the course.</w:t>
      </w:r>
    </w:p>
    <w:p w:rsidR="00177678" w:rsidRDefault="00E73B1F">
      <w:pPr>
        <w:pStyle w:val="ListParagraph"/>
        <w:numPr>
          <w:ilvl w:val="0"/>
          <w:numId w:val="2"/>
        </w:numPr>
        <w:tabs>
          <w:tab w:val="left" w:pos="360"/>
          <w:tab w:val="left" w:pos="504"/>
        </w:tabs>
        <w:spacing w:before="504" w:line="223" w:lineRule="exact"/>
        <w:textAlignment w:val="baseline"/>
        <w:rPr>
          <w:rFonts w:ascii="Calibri" w:eastAsia="Calibri" w:hAnsi="Calibri"/>
          <w:b/>
          <w:color w:val="000000"/>
          <w:spacing w:val="-1"/>
        </w:rPr>
      </w:pPr>
      <w:r>
        <w:rPr>
          <w:rFonts w:ascii="Calibri" w:eastAsia="Calibri" w:hAnsi="Calibri"/>
          <w:b/>
          <w:color w:val="000000"/>
          <w:spacing w:val="-1"/>
        </w:rPr>
        <w:t xml:space="preserve">  NUMBERS ON CANDIDATES’ PERFORMANCE IN EACH PART OF THE EXAMINATION</w:t>
      </w:r>
    </w:p>
    <w:p w:rsidR="00177678" w:rsidRDefault="00E73B1F">
      <w:pPr>
        <w:spacing w:before="121" w:line="244" w:lineRule="exact"/>
        <w:ind w:left="360" w:right="144"/>
        <w:textAlignment w:val="baseline"/>
        <w:rPr>
          <w:rFonts w:ascii="Calibri" w:eastAsia="Calibri" w:hAnsi="Calibri"/>
          <w:color w:val="000000"/>
        </w:rPr>
        <w:sectPr w:rsidR="00177678">
          <w:pgSz w:w="11906" w:h="16838"/>
          <w:pgMar w:top="1460" w:right="1018" w:bottom="3167" w:left="961" w:header="0" w:footer="0" w:gutter="0"/>
          <w:cols w:space="720"/>
          <w:formProt w:val="0"/>
          <w:docGrid w:linePitch="100" w:charSpace="4096"/>
        </w:sectPr>
      </w:pPr>
      <w:r>
        <w:rPr>
          <w:rFonts w:ascii="Calibri" w:eastAsia="Calibri" w:hAnsi="Calibri"/>
          <w:color w:val="000000"/>
        </w:rPr>
        <w:t>The written papers, statistics take home exam and C++ Part I required some scaling from raw marks to USMs while the Deep Learning assessment only required a small amount of scaling in order to bring them into line with the other components of the examination.</w:t>
      </w:r>
    </w:p>
    <w:p w:rsidR="00177678" w:rsidRDefault="00177678">
      <w:pPr>
        <w:spacing w:before="33" w:after="470" w:line="245" w:lineRule="exact"/>
        <w:ind w:left="360" w:right="504"/>
        <w:textAlignment w:val="baseline"/>
        <w:rPr>
          <w:rFonts w:ascii="Calibri" w:eastAsia="Calibri" w:hAnsi="Calibri"/>
          <w:color w:val="000000"/>
          <w:sz w:val="23"/>
        </w:rPr>
      </w:pPr>
    </w:p>
    <w:tbl>
      <w:tblPr>
        <w:tblW w:w="9211" w:type="dxa"/>
        <w:tblInd w:w="23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834"/>
        <w:gridCol w:w="1276"/>
        <w:gridCol w:w="850"/>
        <w:gridCol w:w="850"/>
        <w:gridCol w:w="850"/>
        <w:gridCol w:w="1559"/>
        <w:gridCol w:w="1992"/>
      </w:tblGrid>
      <w:tr w:rsidR="00177678">
        <w:trPr>
          <w:trHeight w:hRule="exact" w:val="68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Distinction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Merit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ind w:right="231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ind w:right="279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Fail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0" w:line="22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Average USM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9" w:after="331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Standard Deviation</w:t>
            </w:r>
          </w:p>
        </w:tc>
      </w:tr>
      <w:tr w:rsidR="00177678">
        <w:trPr>
          <w:trHeight w:hRule="exact" w:val="6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0" w:after="331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Paper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07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13.42</w:t>
            </w:r>
          </w:p>
        </w:tc>
      </w:tr>
      <w:tr w:rsidR="00177678">
        <w:trPr>
          <w:trHeight w:hRule="exact" w:val="682"/>
        </w:trPr>
        <w:tc>
          <w:tcPr>
            <w:tcW w:w="18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20" w:after="326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Paper B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24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16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8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5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66</w:t>
            </w:r>
          </w:p>
        </w:tc>
        <w:tc>
          <w:tcPr>
            <w:tcW w:w="1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7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11.63</w:t>
            </w:r>
          </w:p>
        </w:tc>
      </w:tr>
      <w:tr w:rsidR="00177678">
        <w:trPr>
          <w:trHeight w:hRule="exact" w:val="67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26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Paper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14.85</w:t>
            </w:r>
          </w:p>
        </w:tc>
      </w:tr>
      <w:tr w:rsidR="00177678">
        <w:trPr>
          <w:trHeight w:hRule="exact" w:val="681"/>
        </w:trPr>
        <w:tc>
          <w:tcPr>
            <w:tcW w:w="18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4" w:after="326" w:line="227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Paper D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21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11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11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10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62</w:t>
            </w:r>
          </w:p>
        </w:tc>
        <w:tc>
          <w:tcPr>
            <w:tcW w:w="1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28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19</w:t>
            </w:r>
          </w:p>
        </w:tc>
      </w:tr>
      <w:tr w:rsidR="00177678">
        <w:trPr>
          <w:trHeight w:hRule="exact" w:val="67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5" w:after="321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Component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2" w:after="32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</w:tr>
      <w:tr w:rsidR="00177678">
        <w:trPr>
          <w:trHeight w:hRule="exact" w:val="67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5" w:after="336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C++ Part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3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14.73</w:t>
            </w:r>
          </w:p>
        </w:tc>
      </w:tr>
      <w:tr w:rsidR="00177678">
        <w:trPr>
          <w:trHeight w:hRule="exact" w:val="682"/>
        </w:trPr>
        <w:tc>
          <w:tcPr>
            <w:tcW w:w="18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9" w:after="331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C++ Part II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52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0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0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96</w:t>
            </w:r>
          </w:p>
        </w:tc>
        <w:tc>
          <w:tcPr>
            <w:tcW w:w="1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6" w:after="332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16.28</w:t>
            </w:r>
          </w:p>
        </w:tc>
      </w:tr>
      <w:tr w:rsidR="00177678">
        <w:trPr>
          <w:trHeight w:hRule="exact" w:val="70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71" w:after="91" w:line="269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Statistics Take Home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1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10.38</w:t>
            </w:r>
          </w:p>
        </w:tc>
      </w:tr>
      <w:tr w:rsidR="00177678">
        <w:trPr>
          <w:trHeight w:hRule="exact" w:val="70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72" w:after="91" w:line="269" w:lineRule="exact"/>
              <w:ind w:left="72" w:right="43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Deep Learning Take Home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94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7678" w:rsidRDefault="00E73B1F">
            <w:pPr>
              <w:widowControl w:val="0"/>
              <w:spacing w:before="112" w:after="36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6.59</w:t>
            </w:r>
          </w:p>
        </w:tc>
      </w:tr>
      <w:tr w:rsidR="00177678">
        <w:trPr>
          <w:trHeight w:hRule="exact" w:val="681"/>
        </w:trPr>
        <w:tc>
          <w:tcPr>
            <w:tcW w:w="18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4" w:after="330" w:line="227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Component II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177678">
            <w:pPr>
              <w:widowControl w:val="0"/>
              <w:spacing w:before="116" w:after="327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</w:tr>
      <w:tr w:rsidR="00177678">
        <w:trPr>
          <w:trHeight w:hRule="exact" w:val="70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72" w:after="86" w:line="269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Dissertation (Component III)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ind w:right="26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ind w:right="231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ind w:right="279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67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BDB" w:fill="DBDBDB"/>
          </w:tcPr>
          <w:p w:rsidR="00177678" w:rsidRDefault="00E73B1F">
            <w:pPr>
              <w:widowControl w:val="0"/>
              <w:spacing w:before="112" w:after="356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13.44</w:t>
            </w:r>
          </w:p>
        </w:tc>
      </w:tr>
      <w:tr w:rsidR="00177678">
        <w:trPr>
          <w:trHeight w:hRule="exact" w:val="69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5" w:after="340" w:line="226" w:lineRule="exact"/>
              <w:ind w:left="86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OVERALL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5" w:after="340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5" w:after="340" w:line="226" w:lineRule="exact"/>
              <w:ind w:right="263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5" w:after="340" w:line="226" w:lineRule="exact"/>
              <w:ind w:right="231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E73B1F">
            <w:pPr>
              <w:widowControl w:val="0"/>
              <w:spacing w:before="115" w:after="340" w:line="226" w:lineRule="exact"/>
              <w:ind w:right="279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177678">
            <w:pPr>
              <w:widowControl w:val="0"/>
              <w:spacing w:before="112" w:after="34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</w:tcPr>
          <w:p w:rsidR="00177678" w:rsidRDefault="00177678">
            <w:pPr>
              <w:widowControl w:val="0"/>
              <w:spacing w:before="112" w:after="341" w:line="22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</w:tr>
    </w:tbl>
    <w:p w:rsidR="00177678" w:rsidRDefault="00177678">
      <w:pPr>
        <w:spacing w:after="340" w:line="20" w:lineRule="exact"/>
      </w:pPr>
    </w:p>
    <w:p w:rsidR="00177678" w:rsidRDefault="00E73B1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lastRenderedPageBreak/>
        <w:t>COMMENTS ON PAPERS AND INDIVIDUAL QUESTIONS</w:t>
      </w:r>
    </w:p>
    <w:p w:rsidR="00177678" w:rsidRDefault="00177678">
      <w:pPr>
        <w:rPr>
          <w:rFonts w:asciiTheme="minorHAnsi" w:hAnsiTheme="minorHAnsi" w:cstheme="minorHAnsi"/>
          <w:sz w:val="23"/>
          <w:szCs w:val="23"/>
        </w:rPr>
      </w:pPr>
    </w:p>
    <w:p w:rsidR="00177678" w:rsidRDefault="00E73B1F">
      <w:pPr>
        <w:rPr>
          <w:rFonts w:ascii="Calibri" w:eastAsia="Calibri" w:hAnsi="Calibri"/>
          <w:color w:val="000000"/>
          <w:sz w:val="23"/>
        </w:rPr>
      </w:pPr>
      <w:r w:rsidRPr="00082B01">
        <w:rPr>
          <w:rFonts w:ascii="Calibri" w:eastAsia="Calibri" w:hAnsi="Calibri"/>
          <w:color w:val="000000"/>
          <w:sz w:val="23"/>
        </w:rPr>
        <w:t>Across the written exams, marks were broadly similar, average marks in the 60s, with slightly higher marks in Papers A and B compared to Papers C and D. Across the other assessments, the marks for C++II and Deep Learning are very high in comparison to other take-home exam marks. The dissertation marks are good, with 25 Distinctions an</w:t>
      </w:r>
      <w:r w:rsidR="00082B01" w:rsidRPr="00082B01">
        <w:rPr>
          <w:rFonts w:ascii="Calibri" w:eastAsia="Calibri" w:hAnsi="Calibri"/>
          <w:color w:val="000000"/>
          <w:sz w:val="23"/>
        </w:rPr>
        <w:t>d</w:t>
      </w:r>
      <w:r w:rsidRPr="00082B01">
        <w:rPr>
          <w:rFonts w:ascii="Calibri" w:eastAsia="Calibri" w:hAnsi="Calibri"/>
          <w:color w:val="000000"/>
          <w:sz w:val="23"/>
        </w:rPr>
        <w:t xml:space="preserve"> 23 Merits. There was also this year (unusually) one failed dissertation.</w:t>
      </w:r>
    </w:p>
    <w:p w:rsidR="00082B01" w:rsidRPr="00082B01" w:rsidRDefault="00082B01">
      <w:pPr>
        <w:rPr>
          <w:rFonts w:ascii="Calibri" w:eastAsia="Calibri" w:hAnsi="Calibri"/>
          <w:color w:val="000000"/>
          <w:sz w:val="23"/>
        </w:rPr>
      </w:pPr>
    </w:p>
    <w:p w:rsidR="00177678" w:rsidRPr="004D541D" w:rsidRDefault="00E73B1F" w:rsidP="004D54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  <w:r w:rsidRPr="004D541D">
        <w:rPr>
          <w:rFonts w:asciiTheme="minorHAnsi" w:hAnsiTheme="minorHAnsi" w:cstheme="minorHAnsi"/>
          <w:b/>
          <w:sz w:val="23"/>
          <w:szCs w:val="23"/>
        </w:rPr>
        <w:t>NAMES OF MEMBERS OF THE BOARD OF EXAMINERS</w:t>
      </w:r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Prof Michael </w:t>
      </w:r>
      <w:proofErr w:type="spellStart"/>
      <w:r>
        <w:rPr>
          <w:rFonts w:ascii="Calibri" w:eastAsia="Calibri" w:hAnsi="Calibri"/>
          <w:color w:val="000000"/>
          <w:sz w:val="23"/>
        </w:rPr>
        <w:t>Monoyios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(Chairman)</w:t>
      </w:r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Prof Sam Cohen</w:t>
      </w:r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Prof Ben </w:t>
      </w:r>
      <w:proofErr w:type="spellStart"/>
      <w:r>
        <w:rPr>
          <w:rFonts w:ascii="Calibri" w:eastAsia="Calibri" w:hAnsi="Calibri"/>
          <w:color w:val="000000"/>
          <w:sz w:val="23"/>
        </w:rPr>
        <w:t>Hambly</w:t>
      </w:r>
      <w:proofErr w:type="spellEnd"/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Prof Christoph Reisinger</w:t>
      </w:r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Dr Leandro Sanchez-Betancourt</w:t>
      </w:r>
    </w:p>
    <w:p w:rsidR="00177678" w:rsidRDefault="00E73B1F">
      <w:pPr>
        <w:spacing w:before="124" w:line="242" w:lineRule="exact"/>
        <w:ind w:left="144"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Prof </w:t>
      </w:r>
      <w:proofErr w:type="spellStart"/>
      <w:r>
        <w:rPr>
          <w:rFonts w:ascii="Calibri" w:eastAsia="Calibri" w:hAnsi="Calibri"/>
          <w:color w:val="000000"/>
          <w:sz w:val="23"/>
        </w:rPr>
        <w:t>Luitgard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Veraart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(External LSE)</w:t>
      </w:r>
    </w:p>
    <w:p w:rsidR="00177678" w:rsidRDefault="00177678">
      <w:pPr>
        <w:spacing w:before="40" w:line="229" w:lineRule="exact"/>
        <w:ind w:left="144"/>
        <w:textAlignment w:val="baseline"/>
        <w:rPr>
          <w:rFonts w:cstheme="minorHAnsi"/>
        </w:rPr>
      </w:pPr>
    </w:p>
    <w:sectPr w:rsidR="00177678">
      <w:pgSz w:w="11906" w:h="16838"/>
      <w:pgMar w:top="1440" w:right="1071" w:bottom="5103" w:left="90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4699"/>
    <w:multiLevelType w:val="multilevel"/>
    <w:tmpl w:val="5D307FA6"/>
    <w:lvl w:ilvl="0">
      <w:start w:val="2"/>
      <w:numFmt w:val="upperLetter"/>
      <w:lvlText w:val="%1."/>
      <w:lvlJc w:val="left"/>
      <w:pPr>
        <w:tabs>
          <w:tab w:val="num" w:pos="216"/>
        </w:tabs>
        <w:ind w:left="0" w:firstLine="0"/>
      </w:pPr>
      <w:rPr>
        <w:rFonts w:ascii="Calibri" w:eastAsia="Calibri" w:hAnsi="Calibri"/>
        <w:b/>
        <w:color w:val="000000"/>
        <w:spacing w:val="0"/>
        <w:w w:val="100"/>
        <w:position w:val="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C664B"/>
    <w:multiLevelType w:val="multilevel"/>
    <w:tmpl w:val="2634190C"/>
    <w:lvl w:ilvl="0">
      <w:start w:val="2"/>
      <w:numFmt w:val="lowerRoman"/>
      <w:lvlText w:val="%1."/>
      <w:lvlJc w:val="left"/>
      <w:pPr>
        <w:tabs>
          <w:tab w:val="num" w:pos="504"/>
        </w:tabs>
        <w:ind w:left="0" w:firstLine="0"/>
      </w:pPr>
      <w:rPr>
        <w:rFonts w:ascii="Calibri" w:eastAsia="Calibri" w:hAnsi="Calibri"/>
        <w:b/>
        <w:color w:val="000000"/>
        <w:spacing w:val="1"/>
        <w:w w:val="100"/>
        <w:position w:val="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DE7F12"/>
    <w:multiLevelType w:val="multilevel"/>
    <w:tmpl w:val="5DB2E1FE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48D37F93"/>
    <w:multiLevelType w:val="multilevel"/>
    <w:tmpl w:val="EE26D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8"/>
    <w:rsid w:val="00082B01"/>
    <w:rsid w:val="00177678"/>
    <w:rsid w:val="004D541D"/>
    <w:rsid w:val="00E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1293"/>
  <w15:docId w15:val="{E8653F07-7EDB-4DD5-B4A2-1A010D5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478F"/>
  </w:style>
  <w:style w:type="character" w:customStyle="1" w:styleId="FooterChar">
    <w:name w:val="Footer Char"/>
    <w:basedOn w:val="DefaultParagraphFont"/>
    <w:link w:val="Footer"/>
    <w:uiPriority w:val="99"/>
    <w:qFormat/>
    <w:rsid w:val="007E478F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41873"/>
    <w:pPr>
      <w:ind w:left="720"/>
      <w:contextualSpacing/>
    </w:pPr>
  </w:style>
  <w:style w:type="paragraph" w:styleId="NoSpacing">
    <w:name w:val="No Spacing"/>
    <w:uiPriority w:val="1"/>
    <w:qFormat/>
    <w:rsid w:val="00A41873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478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E478F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regs.admin.ox.ac.uk/Regulation?code=rftcoue-p4epoocvacaresiandremo&amp;srchYear=2021&amp;srchTerm=1&amp;year=2019&amp;term=1" TargetMode="External"/><Relationship Id="rId5" Type="http://schemas.openxmlformats.org/officeDocument/2006/relationships/hyperlink" Target="https://examregs.admin.ox.ac.uk/Regulation?code=rftcoue-p4epoocvacaresiandremo&amp;srchYear=2021&amp;srchTerm=1&amp;year=2019&amp;ter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Gardner</dc:creator>
  <dc:description/>
  <cp:lastModifiedBy>L Auger</cp:lastModifiedBy>
  <cp:revision>3</cp:revision>
  <dcterms:created xsi:type="dcterms:W3CDTF">2024-10-03T08:13:00Z</dcterms:created>
  <dcterms:modified xsi:type="dcterms:W3CDTF">2024-10-29T13:06:00Z</dcterms:modified>
  <dc:language>en-GB</dc:language>
</cp:coreProperties>
</file>